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25A03" w14:textId="7F640465" w:rsidR="003B5585" w:rsidRPr="003B5585" w:rsidRDefault="003B5585" w:rsidP="003B5585">
      <w:pPr>
        <w:spacing w:line="480" w:lineRule="auto"/>
        <w:jc w:val="center"/>
        <w:rPr>
          <w:b/>
          <w:bCs/>
          <w:color w:val="000000" w:themeColor="text1"/>
        </w:rPr>
      </w:pPr>
      <w:r w:rsidRPr="003B5585">
        <w:rPr>
          <w:b/>
          <w:bCs/>
          <w:color w:val="000000" w:themeColor="text1"/>
        </w:rPr>
        <w:t>Requiring a Response:</w:t>
      </w:r>
    </w:p>
    <w:p w14:paraId="65E14079" w14:textId="3B0998B1" w:rsidR="003B5585" w:rsidRPr="003B5585" w:rsidRDefault="003B5585" w:rsidP="003B5585">
      <w:pPr>
        <w:spacing w:line="480" w:lineRule="auto"/>
        <w:jc w:val="center"/>
        <w:rPr>
          <w:b/>
          <w:bCs/>
          <w:color w:val="000000" w:themeColor="text1"/>
        </w:rPr>
      </w:pPr>
      <w:r w:rsidRPr="003B5585">
        <w:rPr>
          <w:b/>
          <w:bCs/>
          <w:color w:val="000000" w:themeColor="text1"/>
        </w:rPr>
        <w:t>Why Government Entities Must Acknowledge Public Records Requests</w:t>
      </w:r>
    </w:p>
    <w:p w14:paraId="4BAB3100" w14:textId="03A6A880" w:rsidR="00AD1641" w:rsidRDefault="00AD1641" w:rsidP="003B5585">
      <w:pPr>
        <w:spacing w:line="480" w:lineRule="auto"/>
        <w:rPr>
          <w:color w:val="000000" w:themeColor="text1"/>
        </w:rPr>
      </w:pPr>
    </w:p>
    <w:p w14:paraId="2B9AEC00" w14:textId="4EAB2640" w:rsidR="009616BD" w:rsidRDefault="009616BD" w:rsidP="009616BD">
      <w:pPr>
        <w:spacing w:line="480" w:lineRule="auto"/>
        <w:jc w:val="center"/>
        <w:rPr>
          <w:color w:val="000000" w:themeColor="text1"/>
        </w:rPr>
      </w:pPr>
      <w:r>
        <w:rPr>
          <w:color w:val="000000" w:themeColor="text1"/>
        </w:rPr>
        <w:t>Amy Kristin Sanders, University of Texas – Austin, and Daxton “Chip” Stewart, Texas Christian University</w:t>
      </w:r>
    </w:p>
    <w:p w14:paraId="0626FF37" w14:textId="77777777" w:rsidR="009616BD" w:rsidRDefault="009616BD" w:rsidP="003B5585">
      <w:pPr>
        <w:spacing w:line="480" w:lineRule="auto"/>
        <w:rPr>
          <w:color w:val="000000" w:themeColor="text1"/>
        </w:rPr>
      </w:pPr>
    </w:p>
    <w:p w14:paraId="1848850D" w14:textId="511271F9" w:rsidR="003B5585" w:rsidRPr="003B5585" w:rsidRDefault="003B5585" w:rsidP="003B5585">
      <w:pPr>
        <w:spacing w:line="480" w:lineRule="auto"/>
        <w:rPr>
          <w:b/>
          <w:bCs/>
        </w:rPr>
      </w:pPr>
      <w:r w:rsidRPr="003B5585">
        <w:rPr>
          <w:b/>
          <w:bCs/>
        </w:rPr>
        <w:t>Introduction</w:t>
      </w:r>
      <w:bookmarkStart w:id="0" w:name="_GoBack"/>
      <w:bookmarkEnd w:id="0"/>
    </w:p>
    <w:p w14:paraId="312503DD" w14:textId="77777777" w:rsidR="003B5585" w:rsidRPr="003B5585" w:rsidRDefault="003B5585" w:rsidP="003B5585">
      <w:pPr>
        <w:spacing w:line="480" w:lineRule="auto"/>
        <w:ind w:firstLine="720"/>
      </w:pPr>
      <w:r w:rsidRPr="003B5585">
        <w:t xml:space="preserve">For requestors who seek access to government records under state or federal open government laws, one of the most dreaded outcomes is when nothing happens. A requester follows the law, submitting a formal letter to a government agency asking to review or inspect the documents in question, and the agency simply doesn’t respond. </w:t>
      </w:r>
    </w:p>
    <w:p w14:paraId="7411FB57" w14:textId="77777777" w:rsidR="003B5585" w:rsidRPr="003B5585" w:rsidRDefault="003B5585" w:rsidP="003B5585">
      <w:pPr>
        <w:spacing w:line="480" w:lineRule="auto"/>
      </w:pPr>
      <w:r w:rsidRPr="003B5585">
        <w:tab/>
        <w:t>It’s a common problem for freedom of information advocates who teach students and lead workshops for citizens and journalists. David Cuillier and Charles Davis, in their guide “The Art of Access,” recognized it as one of the most common types of denials that records requesters encounter: “‘</w:t>
      </w:r>
      <w:proofErr w:type="spellStart"/>
      <w:r w:rsidRPr="003B5585">
        <w:t>Chirrrp</w:t>
      </w:r>
      <w:proofErr w:type="spellEnd"/>
      <w:r w:rsidRPr="003B5585">
        <w:t xml:space="preserve">, </w:t>
      </w:r>
      <w:proofErr w:type="spellStart"/>
      <w:r w:rsidRPr="003B5585">
        <w:t>Chirrp</w:t>
      </w:r>
      <w:proofErr w:type="spellEnd"/>
      <w:r w:rsidRPr="003B5585">
        <w:t>.’ (Crickets in the Silence of the Agency’s Nonresponse).”</w:t>
      </w:r>
      <w:r w:rsidRPr="003B5585">
        <w:rPr>
          <w:rStyle w:val="FootnoteReference"/>
        </w:rPr>
        <w:footnoteReference w:id="1"/>
      </w:r>
      <w:r w:rsidRPr="003B5585">
        <w:t xml:space="preserve"> </w:t>
      </w:r>
      <w:proofErr w:type="spellStart"/>
      <w:r w:rsidRPr="003B5585">
        <w:t>MuckRock</w:t>
      </w:r>
      <w:proofErr w:type="spellEnd"/>
      <w:r w:rsidRPr="003B5585">
        <w:t xml:space="preserve">, an online news organization that has built a tool for users to file public records requests, used its data to catalog the delays and backlogs in freedom of information requests in the 50 states. Although a handful of states (Vermont, Idaho and Rhode Island) had an average response time of less than 15 days, </w:t>
      </w:r>
      <w:proofErr w:type="spellStart"/>
      <w:r w:rsidRPr="003B5585">
        <w:t>MuckRock</w:t>
      </w:r>
      <w:proofErr w:type="spellEnd"/>
      <w:r w:rsidRPr="003B5585">
        <w:t xml:space="preserve"> found others had much lengthier average delays for responses to records requests, in some cases well more than 100 days.</w:t>
      </w:r>
      <w:r w:rsidRPr="003B5585">
        <w:rPr>
          <w:rStyle w:val="FootnoteReference"/>
        </w:rPr>
        <w:footnoteReference w:id="2"/>
      </w:r>
      <w:r w:rsidRPr="003B5585">
        <w:t xml:space="preserve"> In the study, </w:t>
      </w:r>
      <w:proofErr w:type="spellStart"/>
      <w:r w:rsidRPr="003B5585">
        <w:lastRenderedPageBreak/>
        <w:t>MuckRock</w:t>
      </w:r>
      <w:proofErr w:type="spellEnd"/>
      <w:r w:rsidRPr="003B5585">
        <w:t xml:space="preserve"> noted that variance in response times could be a function of the laws in these states; some state public records laws have a clearly defined time limit for agencies to respond to requests, while others have vague terms such as requiring a “prompt” response, and others have no time limit built into the law at all.</w:t>
      </w:r>
      <w:r w:rsidRPr="003B5585">
        <w:rPr>
          <w:rStyle w:val="FootnoteReference"/>
        </w:rPr>
        <w:footnoteReference w:id="3"/>
      </w:r>
      <w:r w:rsidRPr="003B5585">
        <w:t xml:space="preserve"> At least one recent study suggested a correlation between shorter time limits in state open records laws and the average response time of agencies to requests.</w:t>
      </w:r>
      <w:r w:rsidRPr="003B5585">
        <w:rPr>
          <w:rStyle w:val="FootnoteReference"/>
        </w:rPr>
        <w:footnoteReference w:id="4"/>
      </w:r>
      <w:r w:rsidRPr="003B5585">
        <w:t xml:space="preserve"> The COVID-19 pandemic delayed response times in 2020, as many government agencies across the country delayed or entirely halted responses to records requests. Government officials argued that the emergency response and the shift to remote work allowed suspension of the usual time limit requirements, even as advocates such as the Reporters Committee for Freedom of the Press noted that “the COVID-19 pandemic is not a reason for government agencies to stop accepting or processing records requests.”</w:t>
      </w:r>
      <w:r w:rsidRPr="003B5585">
        <w:rPr>
          <w:rStyle w:val="FootnoteReference"/>
        </w:rPr>
        <w:footnoteReference w:id="5"/>
      </w:r>
      <w:r w:rsidRPr="003B5585">
        <w:t xml:space="preserve"> </w:t>
      </w:r>
    </w:p>
    <w:p w14:paraId="7D6FDA03" w14:textId="3D3F5FE1" w:rsidR="003B5585" w:rsidRPr="003B5585" w:rsidRDefault="003B5585" w:rsidP="003B5585">
      <w:pPr>
        <w:spacing w:line="480" w:lineRule="auto"/>
      </w:pPr>
      <w:r w:rsidRPr="003B5585">
        <w:tab/>
        <w:t xml:space="preserve">Government transparency is a central tenet of a functional democracy, but interminable delays make the laws that set out to ensure such transparency make the laws ineffective, giving the government a way to dodge accountability by, in many cases, simply refusing to acknowledge that a request has been made without consequence. In this paper, we set out to examine this problem by reviewing the required response time provisions in state open records laws. After a review of scholarship on response times and compliance matters, we review the status of these provisions in each state and the how courts interpret and enforce them. Finally, we </w:t>
      </w:r>
      <w:r w:rsidRPr="003B5585">
        <w:lastRenderedPageBreak/>
        <w:t>propose a model provision to update or enhance state open records laws for those jurisdictions that do not have detailed time limits built into their laws.</w:t>
      </w:r>
    </w:p>
    <w:p w14:paraId="470B9183" w14:textId="77777777" w:rsidR="003B5585" w:rsidRPr="003B5585" w:rsidRDefault="003B5585" w:rsidP="003B5585">
      <w:pPr>
        <w:spacing w:line="480" w:lineRule="auto"/>
        <w:rPr>
          <w:b/>
          <w:bCs/>
        </w:rPr>
      </w:pPr>
      <w:r w:rsidRPr="003B5585">
        <w:rPr>
          <w:b/>
          <w:bCs/>
        </w:rPr>
        <w:t>Background</w:t>
      </w:r>
    </w:p>
    <w:p w14:paraId="21DA2223" w14:textId="77777777" w:rsidR="003B5585" w:rsidRPr="003B5585" w:rsidRDefault="003B5585" w:rsidP="003B5585">
      <w:pPr>
        <w:spacing w:line="480" w:lineRule="auto"/>
        <w:ind w:firstLine="360"/>
      </w:pPr>
      <w:r w:rsidRPr="003B5585">
        <w:t>States have long recognized the importance of freedom of information laws to good governance. Statutes with statements of purpose could not be clearer. “In a democracy, the people are vested with the ultimate decision-making power,” the Hawaii Uniform Information Practices Act begins. “Government agencies exist to aid the people in the formation and conduct of public policy. Opening up the government processes to public scrutiny and participation is the only viable and reasonable method of protecting the public’s interest.”</w:t>
      </w:r>
      <w:r w:rsidRPr="003B5585">
        <w:rPr>
          <w:rStyle w:val="FootnoteReference"/>
        </w:rPr>
        <w:footnoteReference w:id="6"/>
      </w:r>
      <w:r w:rsidRPr="003B5585">
        <w:t xml:space="preserve"> Texas, in its Public Information Act, opens with recognition that “the fundamental philosophy of the American constitutional form of representative government that adheres to the principle that the government is the servant and not the master of the people,” thus entitling citizens “at all times to complete information about the affairs of government and the official acts of public officials and employees.”</w:t>
      </w:r>
      <w:r w:rsidRPr="003B5585">
        <w:rPr>
          <w:rStyle w:val="FootnoteReference"/>
        </w:rPr>
        <w:footnoteReference w:id="7"/>
      </w:r>
      <w:r w:rsidRPr="003B5585">
        <w:t xml:space="preserve"> </w:t>
      </w:r>
    </w:p>
    <w:p w14:paraId="485C607F" w14:textId="6671C75B" w:rsidR="003B5585" w:rsidRPr="003B5585" w:rsidRDefault="003B5585" w:rsidP="003B5585">
      <w:pPr>
        <w:spacing w:line="480" w:lineRule="auto"/>
        <w:ind w:firstLine="360"/>
      </w:pPr>
      <w:r w:rsidRPr="003B5585">
        <w:t>The language in many state freedom of information statutes guarantees broad access to records of public officials and agencies, but many states fail to live up to those guarantees. Iowa, for example, says, “Every person shall have the right to examine and copy a public record and to publish or otherwise disseminate a public record,”</w:t>
      </w:r>
      <w:r w:rsidRPr="003B5585">
        <w:rPr>
          <w:rStyle w:val="FootnoteReference"/>
        </w:rPr>
        <w:footnoteReference w:id="8"/>
      </w:r>
      <w:r w:rsidRPr="003B5585">
        <w:t xml:space="preserve"> while Oregon makes a similar broad promise, that “(e)very person has a right to inspect any public record of a public body in this state,” </w:t>
      </w:r>
      <w:r w:rsidRPr="003B5585">
        <w:lastRenderedPageBreak/>
        <w:t>subject to the usual exemptions and limitations.</w:t>
      </w:r>
      <w:r w:rsidRPr="003B5585">
        <w:rPr>
          <w:rStyle w:val="FootnoteReference"/>
        </w:rPr>
        <w:footnoteReference w:id="9"/>
      </w:r>
      <w:r w:rsidRPr="003B5585">
        <w:t xml:space="preserve">  In spite of this language in the statutes, the aforementioned </w:t>
      </w:r>
      <w:proofErr w:type="spellStart"/>
      <w:r w:rsidRPr="003B5585">
        <w:t>MuckRock</w:t>
      </w:r>
      <w:proofErr w:type="spellEnd"/>
      <w:r w:rsidRPr="003B5585">
        <w:t xml:space="preserve"> review of records found that Oregon had the longest average delay in response time of any state—at 145 days. Iowa had an average 121-day delay, and Texas averaged 95 days from request to a decision on access.</w:t>
      </w:r>
      <w:r w:rsidRPr="003B5585">
        <w:rPr>
          <w:rStyle w:val="FootnoteReference"/>
        </w:rPr>
        <w:footnoteReference w:id="10"/>
      </w:r>
      <w:r w:rsidRPr="003B5585">
        <w:t xml:space="preserve"> And Hawaii Gov. David </w:t>
      </w:r>
      <w:proofErr w:type="spellStart"/>
      <w:r w:rsidRPr="003B5585">
        <w:t>Igoe</w:t>
      </w:r>
      <w:proofErr w:type="spellEnd"/>
      <w:r w:rsidRPr="003B5585">
        <w:t xml:space="preserve">, whose state statute has some of the most idealistic language in the country underlying its access provisions, suspended the entirety of its open records law in March 2020. The </w:t>
      </w:r>
      <w:r w:rsidR="002625B5">
        <w:t>D</w:t>
      </w:r>
      <w:r w:rsidRPr="003B5585">
        <w:t>emocrat, who was heavily criticized, only eased up on the restrictions in February 2021 after pressure from open records advocates.</w:t>
      </w:r>
      <w:r w:rsidRPr="003B5585">
        <w:rPr>
          <w:rStyle w:val="FootnoteReference"/>
        </w:rPr>
        <w:footnoteReference w:id="11"/>
      </w:r>
      <w:r w:rsidRPr="003B5585">
        <w:t xml:space="preserve"> Hawaii was not alone, as the </w:t>
      </w:r>
      <w:r w:rsidRPr="003B5585">
        <w:rPr>
          <w:i/>
          <w:iCs/>
        </w:rPr>
        <w:t>New York Times</w:t>
      </w:r>
      <w:r w:rsidRPr="003B5585">
        <w:t xml:space="preserve"> editorial board noted, recognizing that “far too many agencies have also interpreted the arrival of the coronavirus pandemic and necessary shelter-in-place orders as justification for either further delaying or failing entirely to respond to FOIA requests.”</w:t>
      </w:r>
      <w:r w:rsidRPr="003B5585">
        <w:rPr>
          <w:rStyle w:val="FootnoteReference"/>
        </w:rPr>
        <w:footnoteReference w:id="12"/>
      </w:r>
    </w:p>
    <w:p w14:paraId="1AEEC26E" w14:textId="35F9ED36" w:rsidR="003B5585" w:rsidRPr="003B5585" w:rsidRDefault="003B5585" w:rsidP="003B5585">
      <w:pPr>
        <w:spacing w:line="480" w:lineRule="auto"/>
        <w:ind w:firstLine="360"/>
      </w:pPr>
      <w:r w:rsidRPr="003B5585">
        <w:t xml:space="preserve">This duality of open records laws, which aim to satisfy the highest ideals of democratic governance rooted in transparency only to fall far short of those ideals in practice, is evident in modern critiques of the federal Freedom of Information Act. “Without a doubt, FOIA is a tremendously important statute that has done tremendously important things in its first fifty years,” wrote David Pozen and Michael </w:t>
      </w:r>
      <w:proofErr w:type="spellStart"/>
      <w:r w:rsidRPr="003B5585">
        <w:t>Schudson</w:t>
      </w:r>
      <w:proofErr w:type="spellEnd"/>
      <w:r w:rsidRPr="003B5585">
        <w:t xml:space="preserve"> in the introduction to a collection of essays recognizing that anniversary. “It is also a markedly inefficient, adversarial, and corporate-friendly response to the postwar rise of official secrecy, and one that interacts in complicated </w:t>
      </w:r>
      <w:r w:rsidRPr="003B5585">
        <w:lastRenderedPageBreak/>
        <w:t>ways with the U.S. system of governance.”</w:t>
      </w:r>
      <w:r w:rsidRPr="003B5585">
        <w:rPr>
          <w:rStyle w:val="FootnoteReference"/>
        </w:rPr>
        <w:footnoteReference w:id="13"/>
      </w:r>
      <w:r w:rsidRPr="003B5585">
        <w:t xml:space="preserve"> Failure of state and federal open records laws to respond to the challenges and needs of citizens in a democratic government are common subjects of calls for reform, such as Jonathan Peters’ recommendation of a “radically reimagined First Amendment right to receive information” rooted in the constitutional structure and democratic norms the United States that would “compel access to government.”</w:t>
      </w:r>
      <w:r w:rsidRPr="003B5585">
        <w:rPr>
          <w:rStyle w:val="FootnoteReference"/>
        </w:rPr>
        <w:footnoteReference w:id="14"/>
      </w:r>
    </w:p>
    <w:p w14:paraId="2BF99579" w14:textId="471B4C03" w:rsidR="002625B5" w:rsidRDefault="003B5585" w:rsidP="003B5585">
      <w:pPr>
        <w:spacing w:line="480" w:lineRule="auto"/>
        <w:ind w:firstLine="360"/>
      </w:pPr>
      <w:r w:rsidRPr="003B5585">
        <w:t>One of the primary inefficiencies Peters noted in the patchwork of state and federal access laws is delay, which has long been a troublesome hallmark of open records laws.</w:t>
      </w:r>
      <w:r w:rsidRPr="003B5585">
        <w:rPr>
          <w:rStyle w:val="FootnoteReference"/>
        </w:rPr>
        <w:footnoteReference w:id="15"/>
      </w:r>
      <w:r w:rsidRPr="003B5585">
        <w:t xml:space="preserve"> After FOIA became law in 1966, it became obvious that an overhaul was needed to address what a Senate committee recognized as lengthy delays—at the time, 33 days— that were making FOIA what they called a “freedom </w:t>
      </w:r>
      <w:r w:rsidRPr="003B5585">
        <w:rPr>
          <w:i/>
          <w:iCs/>
        </w:rPr>
        <w:t>from</w:t>
      </w:r>
      <w:r w:rsidRPr="003B5585">
        <w:t xml:space="preserve"> information law.”</w:t>
      </w:r>
      <w:r w:rsidRPr="003B5585">
        <w:rPr>
          <w:rStyle w:val="FootnoteReference"/>
        </w:rPr>
        <w:footnoteReference w:id="16"/>
      </w:r>
      <w:r w:rsidRPr="003B5585">
        <w:t xml:space="preserve"> Fifty years after FOIA became law, the problem remained; a House committee report titled “FOIA is Broken” noted that the biggest barrier to effective transparency under the law was “Delay, Delay, Delay,” with months—and sometimes years—passing between the time a request is made and when it is fulfilled,</w:t>
      </w:r>
      <w:r w:rsidRPr="003B5585">
        <w:rPr>
          <w:rStyle w:val="FootnoteReference"/>
        </w:rPr>
        <w:footnoteReference w:id="17"/>
      </w:r>
      <w:r w:rsidRPr="003B5585">
        <w:t xml:space="preserve"> even though federal law mandates decisions to be made on FOIA requests within 20 days, with an extension of up to 10 days for “unusual circumstances.”</w:t>
      </w:r>
      <w:r w:rsidRPr="003B5585">
        <w:rPr>
          <w:rStyle w:val="FootnoteReference"/>
        </w:rPr>
        <w:footnoteReference w:id="18"/>
      </w:r>
      <w:r w:rsidRPr="003B5585">
        <w:t xml:space="preserve"> </w:t>
      </w:r>
      <w:r w:rsidR="002625B5">
        <w:t>Ben Wasike demonstrated how FOIA processing has slowed in recent years</w:t>
      </w:r>
      <w:r w:rsidR="007F272B">
        <w:t>.</w:t>
      </w:r>
      <w:r w:rsidR="002625B5">
        <w:t xml:space="preserve"> </w:t>
      </w:r>
      <w:r w:rsidR="007F272B">
        <w:t>U</w:t>
      </w:r>
      <w:r w:rsidR="002625B5">
        <w:t xml:space="preserve">nder President Barack Obama, average processing time of simple FOIA requests took 23.7 days and complex requests took 99.7 days, while under President Donald J. </w:t>
      </w:r>
      <w:r w:rsidR="002625B5">
        <w:lastRenderedPageBreak/>
        <w:t>Trump, the processing time increased to 30.2 days for simple requests and 143.5 days for complex requests.</w:t>
      </w:r>
      <w:r w:rsidR="002625B5">
        <w:rPr>
          <w:rStyle w:val="FootnoteReference"/>
        </w:rPr>
        <w:footnoteReference w:id="19"/>
      </w:r>
      <w:r w:rsidR="002625B5">
        <w:t xml:space="preserve"> </w:t>
      </w:r>
    </w:p>
    <w:p w14:paraId="54A5A4B7" w14:textId="5FA9146A" w:rsidR="003B5585" w:rsidRPr="00A73618" w:rsidRDefault="003B5585" w:rsidP="002625B5">
      <w:pPr>
        <w:spacing w:line="480" w:lineRule="auto"/>
        <w:ind w:firstLine="360"/>
        <w:rPr>
          <w:rFonts w:asciiTheme="minorHAnsi" w:hAnsiTheme="minorHAnsi" w:cstheme="minorBidi"/>
        </w:rPr>
      </w:pPr>
      <w:r w:rsidRPr="003B5585">
        <w:t>In a 2020 survey conducted by the National Freedom of Information Coalition, 84 percent of respondents said that “lack of response or delayed response” was the biggest obstacle they faced to receiving public records.</w:t>
      </w:r>
      <w:r w:rsidRPr="003B5585">
        <w:rPr>
          <w:rStyle w:val="FootnoteReference"/>
        </w:rPr>
        <w:footnoteReference w:id="20"/>
      </w:r>
      <w:r w:rsidRPr="003B5585">
        <w:t xml:space="preserve"> </w:t>
      </w:r>
      <w:r w:rsidR="002625B5">
        <w:t>Agency non-responses to requests are common</w:t>
      </w:r>
      <w:r w:rsidR="007F272B">
        <w:t>.</w:t>
      </w:r>
      <w:r w:rsidR="002625B5">
        <w:t xml:space="preserve"> </w:t>
      </w:r>
      <w:r w:rsidR="007F272B">
        <w:t>For example, i</w:t>
      </w:r>
      <w:r w:rsidR="002625B5">
        <w:t>n a study of municipal government agencies in one New York county, Katherine Fink found that only 7 of the 32 municipalities responded to requests within the 5-business-day deadline of the state Freedom of Information Law without a follow</w:t>
      </w:r>
      <w:r w:rsidR="007F272B">
        <w:t>-</w:t>
      </w:r>
      <w:r w:rsidR="002625B5">
        <w:t>up interaction such as an additional phone call or email by the requester.</w:t>
      </w:r>
      <w:r w:rsidR="002625B5">
        <w:rPr>
          <w:rStyle w:val="FootnoteReference"/>
        </w:rPr>
        <w:footnoteReference w:id="21"/>
      </w:r>
      <w:r w:rsidR="002625B5">
        <w:t xml:space="preserve"> Similarly, in interviews with several journalists who use FOIA regularly, Margaret Kwoka confirmed attitudes that “delay and administrative burden in using FOIA are hindering the full realization of FOIA’s goals,” </w:t>
      </w:r>
      <w:r w:rsidR="007F272B">
        <w:t xml:space="preserve">which creates </w:t>
      </w:r>
      <w:r w:rsidR="002625B5">
        <w:t>a particular challenge when journalists do not have the resources to challenge agency unresponsiveness.</w:t>
      </w:r>
      <w:r w:rsidR="002625B5">
        <w:rPr>
          <w:rStyle w:val="FootnoteReference"/>
        </w:rPr>
        <w:footnoteReference w:id="22"/>
      </w:r>
      <w:r w:rsidR="002625B5">
        <w:t xml:space="preserve"> </w:t>
      </w:r>
    </w:p>
    <w:p w14:paraId="71ACE781" w14:textId="77777777" w:rsidR="003B5585" w:rsidRPr="003B5585" w:rsidRDefault="003B5585" w:rsidP="003B5585">
      <w:pPr>
        <w:spacing w:line="480" w:lineRule="auto"/>
        <w:ind w:firstLine="360"/>
      </w:pPr>
      <w:r w:rsidRPr="003B5585">
        <w:t xml:space="preserve">Such delays make transparency impractical for citizens and journalists seeking to provide oversight of government activities. Some of this may be traced to the structure of open records laws themselves. Although the federal FOIA has a statutory time limit for responses and </w:t>
      </w:r>
      <w:r w:rsidRPr="003B5585">
        <w:lastRenderedPageBreak/>
        <w:t xml:space="preserve">fulfillment, there is no effective provision for enforcing it outside of litigation that may delay responses even further. As one study noted, recent FOIA cases that have reached the Supreme Court have taken seven years (in the case of </w:t>
      </w:r>
      <w:r w:rsidRPr="003B5585">
        <w:rPr>
          <w:i/>
          <w:iCs/>
        </w:rPr>
        <w:t>FCC v. AT&amp;T</w:t>
      </w:r>
      <w:r w:rsidRPr="003B5585">
        <w:t xml:space="preserve">) and eight years (in the case of </w:t>
      </w:r>
      <w:r w:rsidRPr="003B5585">
        <w:rPr>
          <w:i/>
          <w:iCs/>
        </w:rPr>
        <w:t>Food Marketing Institute v. Argus Leader</w:t>
      </w:r>
      <w:r w:rsidRPr="003B5585">
        <w:t>) from the time the request was made to when a final decision on access was delivered.</w:t>
      </w:r>
      <w:r w:rsidRPr="003B5585">
        <w:rPr>
          <w:rStyle w:val="FootnoteReference"/>
        </w:rPr>
        <w:footnoteReference w:id="23"/>
      </w:r>
      <w:r w:rsidRPr="003B5585">
        <w:t xml:space="preserve"> A. Jay Wagner found significant delays in response and processing time in a study of 1,002 public records requests filed across eight states, with agencies taking 11 days on average to make an initial response to a request and an average of 17 days to complete the request. Demographics including political affiliation (the more Republican a county voted in 2016, the longer the delay) showed correlation with the delayed responses.</w:t>
      </w:r>
      <w:r w:rsidRPr="003B5585">
        <w:rPr>
          <w:rStyle w:val="FootnoteReference"/>
        </w:rPr>
        <w:footnoteReference w:id="24"/>
      </w:r>
      <w:r w:rsidRPr="003B5585">
        <w:t xml:space="preserve"> The results were consistent with </w:t>
      </w:r>
      <w:proofErr w:type="spellStart"/>
      <w:r w:rsidRPr="003B5585">
        <w:t>Cuillier’s</w:t>
      </w:r>
      <w:proofErr w:type="spellEnd"/>
      <w:r w:rsidRPr="003B5585">
        <w:t xml:space="preserve"> study of </w:t>
      </w:r>
      <w:proofErr w:type="spellStart"/>
      <w:r w:rsidRPr="003B5585">
        <w:t>MuckRock</w:t>
      </w:r>
      <w:proofErr w:type="spellEnd"/>
      <w:r w:rsidRPr="003B5585">
        <w:t xml:space="preserve"> data and demographics, where he found that political culture of a state was the greatest predictor of compliance with freedom of information laws.</w:t>
      </w:r>
      <w:r w:rsidRPr="003B5585">
        <w:rPr>
          <w:rStyle w:val="FootnoteReference"/>
        </w:rPr>
        <w:footnoteReference w:id="25"/>
      </w:r>
      <w:r w:rsidRPr="003B5585">
        <w:t xml:space="preserve"> Post-hoc analysis of the data examining statutory provisions suggested that response times were lower in states with a requirement for the agency to respond in one to five days (with an average response time of 51 days), as compared to states with no deadline (average response time of 60 days) or states with a deadline between six and 30 days (average response time of 63 days), and the author urged further study to see if those mean differences would be significant in a larger sample.</w:t>
      </w:r>
      <w:r w:rsidRPr="003B5585">
        <w:rPr>
          <w:rStyle w:val="FootnoteReference"/>
        </w:rPr>
        <w:footnoteReference w:id="26"/>
      </w:r>
      <w:r w:rsidRPr="003B5585">
        <w:t xml:space="preserve">  </w:t>
      </w:r>
    </w:p>
    <w:p w14:paraId="113A36B4" w14:textId="77777777" w:rsidR="003B5585" w:rsidRPr="003B5585" w:rsidRDefault="003B5585" w:rsidP="003B5585">
      <w:pPr>
        <w:spacing w:line="480" w:lineRule="auto"/>
        <w:ind w:firstLine="360"/>
      </w:pPr>
      <w:proofErr w:type="spellStart"/>
      <w:r w:rsidRPr="003B5585">
        <w:t>Cuillier’s</w:t>
      </w:r>
      <w:proofErr w:type="spellEnd"/>
      <w:r w:rsidRPr="003B5585">
        <w:t xml:space="preserve"> study also found no direct relationship between agencies complying with open records laws and the strength of penalties or other enforcement remedies in those laws, but it did </w:t>
      </w:r>
      <w:r w:rsidRPr="003B5585">
        <w:lastRenderedPageBreak/>
        <w:t>find a connection between the presence of attorney fee-shifting provisions in the statutes. In states that required agencies to pay attorney fees to prevailing plaintiffs, 45 percent of records requests were successful compared to just 39 percent of requests  in states with no fee-shifting provision in the law.</w:t>
      </w:r>
      <w:r w:rsidRPr="003B5585">
        <w:rPr>
          <w:rStyle w:val="FootnoteReference"/>
        </w:rPr>
        <w:footnoteReference w:id="27"/>
      </w:r>
      <w:r w:rsidRPr="003B5585">
        <w:t xml:space="preserve"> Lack of enforcement and functional remedies for noncompliance have long hampered freedom of information laws; government officials know that they are unlikely to be punished or suffer any consequences for failing to follow the law, no matter how much the legislature says transparency and access is essential to the functioning of democracy.</w:t>
      </w:r>
      <w:r w:rsidRPr="003B5585">
        <w:rPr>
          <w:rStyle w:val="FootnoteReference"/>
        </w:rPr>
        <w:footnoteReference w:id="28"/>
      </w:r>
      <w:r w:rsidRPr="003B5585">
        <w:t xml:space="preserve"> Although most states permit attorney fee-shifting, it is only mandatory when plaintiffs prevail in a handful of states, such as Florida</w:t>
      </w:r>
      <w:r w:rsidRPr="003B5585">
        <w:rPr>
          <w:rStyle w:val="FootnoteReference"/>
        </w:rPr>
        <w:footnoteReference w:id="29"/>
      </w:r>
      <w:r w:rsidRPr="003B5585">
        <w:t xml:space="preserve"> and Illinois.</w:t>
      </w:r>
      <w:r w:rsidRPr="003B5585">
        <w:rPr>
          <w:rStyle w:val="FootnoteReference"/>
        </w:rPr>
        <w:footnoteReference w:id="30"/>
      </w:r>
      <w:r w:rsidRPr="003B5585">
        <w:t xml:space="preserve"> Outside of attorney fees or the rare occasion of a penalty handed down by a judge, the main consequence a government agency may face for wrongfully delaying or denying access to records is having to deal with years of litigation as courts sort out the meaning of the word “promptly” in the jurisdictions that set that as the standard for responding to requests. </w:t>
      </w:r>
    </w:p>
    <w:p w14:paraId="01514E2B" w14:textId="77777777" w:rsidR="003B5585" w:rsidRPr="003B5585" w:rsidRDefault="003B5585" w:rsidP="003B5585">
      <w:pPr>
        <w:spacing w:line="480" w:lineRule="auto"/>
        <w:ind w:firstLine="360"/>
      </w:pPr>
      <w:r w:rsidRPr="003B5585">
        <w:t>With radical reform recognizing a federal constitutional right of access unlikely any time soon, freedom of information advocates are left with the challenges of finding practical avenues to close loopholes that allow government agencies to drag their feet on acknowledging or meaningfully responding to legitimate requests from citizens. In the next section, these response time provisions and courts’ interpretations of them are reviewed.</w:t>
      </w:r>
    </w:p>
    <w:p w14:paraId="1F2FAF27" w14:textId="0D89C29E" w:rsidR="003B5585" w:rsidRPr="003B5585" w:rsidRDefault="003B5585" w:rsidP="003B5585">
      <w:pPr>
        <w:spacing w:line="480" w:lineRule="auto"/>
        <w:rPr>
          <w:b/>
          <w:bCs/>
        </w:rPr>
      </w:pPr>
      <w:r w:rsidRPr="003B5585">
        <w:rPr>
          <w:b/>
          <w:bCs/>
        </w:rPr>
        <w:t>Methods</w:t>
      </w:r>
    </w:p>
    <w:p w14:paraId="273072A2" w14:textId="36BF7250" w:rsidR="003B5585" w:rsidRPr="003B5585" w:rsidRDefault="003B5585" w:rsidP="003B5585">
      <w:pPr>
        <w:spacing w:line="480" w:lineRule="auto"/>
      </w:pPr>
      <w:r w:rsidRPr="003B5585">
        <w:lastRenderedPageBreak/>
        <w:tab/>
        <w:t xml:space="preserve">Using </w:t>
      </w:r>
      <w:proofErr w:type="spellStart"/>
      <w:r w:rsidRPr="003B5585">
        <w:t>MuckRock’s</w:t>
      </w:r>
      <w:proofErr w:type="spellEnd"/>
      <w:r w:rsidRPr="003B5585">
        <w:t xml:space="preserve"> open government maps as a starting point, we located and reviewed each state’s open records statute to find relevant provisions. Most of these statutes were publicly available on the state’s official website or </w:t>
      </w:r>
      <w:proofErr w:type="spellStart"/>
      <w:r w:rsidRPr="003B5585">
        <w:t>Justia</w:t>
      </w:r>
      <w:proofErr w:type="spellEnd"/>
      <w:r w:rsidRPr="003B5585">
        <w:t xml:space="preserve">, but some of them required us to use subscription-based legal databases such as Westlaw, LexisNexis, which are not typically available to the public. Of particular interest were provisions that 1) required government agencies to acknowledge public records requests within a specific timeframe and/or 2) provisions that established an expected response time for the production of government records. </w:t>
      </w:r>
    </w:p>
    <w:p w14:paraId="3EC44E47" w14:textId="439E266C" w:rsidR="00B53C0D" w:rsidRPr="003B5585" w:rsidRDefault="00B53C0D" w:rsidP="003B5585">
      <w:pPr>
        <w:spacing w:line="480" w:lineRule="auto"/>
        <w:rPr>
          <w:b/>
          <w:bCs/>
        </w:rPr>
      </w:pPr>
      <w:r w:rsidRPr="003B5585">
        <w:rPr>
          <w:b/>
          <w:bCs/>
        </w:rPr>
        <w:t>Discussion and Analysis</w:t>
      </w:r>
    </w:p>
    <w:p w14:paraId="1496FDDB" w14:textId="5B77B245" w:rsidR="003B5585" w:rsidRPr="003B5585" w:rsidRDefault="00B53C0D" w:rsidP="003B5585">
      <w:pPr>
        <w:spacing w:line="480" w:lineRule="auto"/>
      </w:pPr>
      <w:r w:rsidRPr="003B5585">
        <w:tab/>
        <w:t xml:space="preserve">It does not take detailed study of state public records laws in the United States to quickly realize </w:t>
      </w:r>
      <w:r w:rsidR="003B5585" w:rsidRPr="003B5585">
        <w:t>that</w:t>
      </w:r>
      <w:r w:rsidRPr="003B5585">
        <w:t xml:space="preserve"> a hodgepodge of provisions exists. How the states handle freedom of information requests varies dramatically</w:t>
      </w:r>
      <w:r w:rsidR="003B5585" w:rsidRPr="003B5585">
        <w:t>—</w:t>
      </w:r>
      <w:r w:rsidRPr="003B5585">
        <w:t xml:space="preserve">even among states </w:t>
      </w:r>
      <w:r w:rsidR="003B5585" w:rsidRPr="003B5585">
        <w:t xml:space="preserve">that </w:t>
      </w:r>
      <w:r w:rsidR="003B5585">
        <w:t xml:space="preserve">have constitutional rights of access or </w:t>
      </w:r>
      <w:r w:rsidR="003B5585" w:rsidRPr="003B5585">
        <w:t>statutes that</w:t>
      </w:r>
      <w:r w:rsidRPr="003B5585">
        <w:t xml:space="preserve"> are considered</w:t>
      </w:r>
      <w:r w:rsidR="003B5585" w:rsidRPr="003B5585">
        <w:t xml:space="preserve"> particularly</w:t>
      </w:r>
      <w:r w:rsidRPr="003B5585">
        <w:t xml:space="preserve"> “strong</w:t>
      </w:r>
      <w:r w:rsidR="003B5585">
        <w:t>.</w:t>
      </w:r>
      <w:r w:rsidRPr="003B5585">
        <w:t>”</w:t>
      </w:r>
      <w:r w:rsidR="003B5585" w:rsidRPr="003B5585">
        <w:t xml:space="preserve"> As Jessica </w:t>
      </w:r>
      <w:proofErr w:type="spellStart"/>
      <w:r w:rsidR="003B5585" w:rsidRPr="003B5585">
        <w:t>Terkovich</w:t>
      </w:r>
      <w:proofErr w:type="spellEnd"/>
      <w:r w:rsidR="003B5585" w:rsidRPr="003B5585">
        <w:t xml:space="preserve"> </w:t>
      </w:r>
      <w:r w:rsidR="007F272B">
        <w:t xml:space="preserve">and </w:t>
      </w:r>
      <w:proofErr w:type="spellStart"/>
      <w:r w:rsidR="007F272B">
        <w:t>Aryeh</w:t>
      </w:r>
      <w:proofErr w:type="spellEnd"/>
      <w:r w:rsidR="007F272B">
        <w:t xml:space="preserve"> Frank </w:t>
      </w:r>
      <w:r w:rsidR="003B5585" w:rsidRPr="003B5585">
        <w:t xml:space="preserve">pointed out: </w:t>
      </w:r>
    </w:p>
    <w:p w14:paraId="23A81590" w14:textId="391DE8D7" w:rsidR="003B5585" w:rsidRDefault="003B5585" w:rsidP="003B5585">
      <w:pPr>
        <w:shd w:val="clear" w:color="auto" w:fill="FFFFFF"/>
        <w:ind w:left="720"/>
        <w:rPr>
          <w:color w:val="000000"/>
        </w:rPr>
      </w:pPr>
      <w:r w:rsidRPr="003B5585">
        <w:rPr>
          <w:color w:val="000000"/>
        </w:rPr>
        <w:t>There</w:t>
      </w:r>
      <w:proofErr w:type="gramStart"/>
      <w:r w:rsidRPr="003B5585">
        <w:rPr>
          <w:color w:val="000000"/>
        </w:rPr>
        <w:t>  certainly</w:t>
      </w:r>
      <w:proofErr w:type="gramEnd"/>
      <w:r w:rsidRPr="003B5585">
        <w:rPr>
          <w:color w:val="000000"/>
        </w:rPr>
        <w:t>  is  no  indication  that  requesters  in  California, Florida, or the other states that memorialize a right of access in their constitutions fare any worse than requesters in states without such rights. At least on the margins, the existence of the right appears to do some work, if only as a make-weight factor when judges balance the interests of disclosure and</w:t>
      </w:r>
      <w:r>
        <w:rPr>
          <w:color w:val="000000"/>
        </w:rPr>
        <w:t xml:space="preserve"> concealment. Though it cannot be said that states with constitutionally based access rights are categorically </w:t>
      </w:r>
      <w:r w:rsidRPr="003B5585">
        <w:rPr>
          <w:color w:val="000000"/>
        </w:rPr>
        <w:t>“more open,” neither is there any evidence that the existence of the right is in any way detrimental; nothing in the appellate case law suggests that requesters frequently bring unfounded constitutional claims or otherwise leverage the existence of the right for improper purposes.</w:t>
      </w:r>
      <w:r w:rsidR="007F272B">
        <w:rPr>
          <w:rStyle w:val="FootnoteReference"/>
          <w:color w:val="000000"/>
        </w:rPr>
        <w:footnoteReference w:id="31"/>
      </w:r>
    </w:p>
    <w:p w14:paraId="5FEDDC8B" w14:textId="77777777" w:rsidR="003B5585" w:rsidRPr="003B5585" w:rsidRDefault="003B5585" w:rsidP="003B5585">
      <w:pPr>
        <w:shd w:val="clear" w:color="auto" w:fill="FFFFFF"/>
        <w:ind w:left="720"/>
        <w:rPr>
          <w:color w:val="000000"/>
        </w:rPr>
      </w:pPr>
    </w:p>
    <w:p w14:paraId="26F5EDF2" w14:textId="29246758" w:rsidR="00B53C0D" w:rsidRPr="003B5585" w:rsidRDefault="003B5585" w:rsidP="003B5585">
      <w:pPr>
        <w:spacing w:line="480" w:lineRule="auto"/>
      </w:pPr>
      <w:proofErr w:type="gramStart"/>
      <w:r>
        <w:t>Despite this significant variance,</w:t>
      </w:r>
      <w:r w:rsidR="00B53C0D" w:rsidRPr="003B5585">
        <w:t xml:space="preserve"> </w:t>
      </w:r>
      <w:r>
        <w:t xml:space="preserve">we have divided </w:t>
      </w:r>
      <w:r w:rsidR="00B53C0D" w:rsidRPr="003B5585">
        <w:t xml:space="preserve">state </w:t>
      </w:r>
      <w:r>
        <w:t>open records statutes</w:t>
      </w:r>
      <w:r w:rsidR="00B53C0D" w:rsidRPr="003B5585">
        <w:t xml:space="preserve"> into three categories </w:t>
      </w:r>
      <w:r>
        <w:t>with regard to</w:t>
      </w:r>
      <w:r w:rsidR="00B53C0D" w:rsidRPr="003B5585">
        <w:t xml:space="preserve"> the</w:t>
      </w:r>
      <w:r>
        <w:t xml:space="preserve">ir </w:t>
      </w:r>
      <w:r w:rsidR="00B53C0D" w:rsidRPr="003B5585">
        <w:t xml:space="preserve">frameworks for responding to records requests: 1) laws that contain no mention of required times for acknowledging requests or producing records 2)  laws that contain generalized requirements (“prompt” or “timely,” for example) for acknowledging requests or </w:t>
      </w:r>
      <w:r w:rsidR="00B53C0D" w:rsidRPr="003B5585">
        <w:lastRenderedPageBreak/>
        <w:t>producing records and 3) laws that contain specific time frames for acknowledging requests or producing records.</w:t>
      </w:r>
      <w:proofErr w:type="gramEnd"/>
      <w:r w:rsidR="00B53C0D" w:rsidRPr="003B5585">
        <w:t xml:space="preserve"> </w:t>
      </w:r>
    </w:p>
    <w:p w14:paraId="7D76208A" w14:textId="41261CAB" w:rsidR="00B53C0D" w:rsidRPr="003B5585" w:rsidRDefault="008141DC" w:rsidP="003B5585">
      <w:pPr>
        <w:spacing w:line="480" w:lineRule="auto"/>
        <w:ind w:firstLine="720"/>
        <w:rPr>
          <w:i/>
          <w:iCs/>
        </w:rPr>
      </w:pPr>
      <w:r w:rsidRPr="003B5585">
        <w:rPr>
          <w:i/>
          <w:iCs/>
        </w:rPr>
        <w:t xml:space="preserve">Required Response: </w:t>
      </w:r>
      <w:r w:rsidR="00B53C0D" w:rsidRPr="003B5585">
        <w:rPr>
          <w:i/>
          <w:iCs/>
        </w:rPr>
        <w:t>Acknowledgement of Requests</w:t>
      </w:r>
    </w:p>
    <w:p w14:paraId="460E3210" w14:textId="17E25ADF" w:rsidR="00B53C0D" w:rsidRDefault="003B5585" w:rsidP="003B5585">
      <w:pPr>
        <w:spacing w:line="480" w:lineRule="auto"/>
      </w:pPr>
      <w:r>
        <w:rPr>
          <w:b/>
          <w:bCs/>
        </w:rPr>
        <w:tab/>
      </w:r>
      <w:r>
        <w:t>For open</w:t>
      </w:r>
      <w:r w:rsidR="00BB1081">
        <w:t>-</w:t>
      </w:r>
      <w:r>
        <w:t>government advocates, an agency’s mere acknowledgement of receipt of a public records request seems like the baseline for transparency. After all, if the agency does not acknowledge receipt of the requests, how is a requestor supposed to establish the agency’s failure to meet statutorily imposed deadlines for the production of records? Yet, only</w:t>
      </w:r>
      <w:r w:rsidR="007F272B">
        <w:t xml:space="preserve"> four</w:t>
      </w:r>
      <w:r>
        <w:t xml:space="preserve"> state open records laws contain provisions requiring the acknowledgement of a public records request.</w:t>
      </w:r>
      <w:r w:rsidR="007F272B">
        <w:rPr>
          <w:rStyle w:val="FootnoteReference"/>
        </w:rPr>
        <w:footnoteReference w:id="32"/>
      </w:r>
      <w:r>
        <w:t xml:space="preserve"> The Florida Public Records Law, which is often lauded by freedom of information advocates, contains a weak version of an “acknowledgement provision”</w:t>
      </w:r>
      <w:r w:rsidR="00BB1081">
        <w:t xml:space="preserve"> that includes no mandated time frame.</w:t>
      </w:r>
      <w:r>
        <w:t xml:space="preserve"> Section 119.07 </w:t>
      </w:r>
      <w:r w:rsidR="00BB1081">
        <w:t>states:</w:t>
      </w:r>
      <w:r>
        <w:t xml:space="preserve"> “A custodian of public records and his or her designee must acknowledge requests to inspect or copy records promptly…”</w:t>
      </w:r>
      <w:r>
        <w:rPr>
          <w:rStyle w:val="FootnoteReference"/>
        </w:rPr>
        <w:footnoteReference w:id="33"/>
      </w:r>
      <w:r>
        <w:t xml:space="preserve"> </w:t>
      </w:r>
    </w:p>
    <w:p w14:paraId="7C05CDB4" w14:textId="1AE07A3A" w:rsidR="00B328F5" w:rsidRDefault="00B328F5" w:rsidP="003B5585">
      <w:pPr>
        <w:spacing w:line="480" w:lineRule="auto"/>
      </w:pPr>
      <w:r>
        <w:tab/>
        <w:t>Maryland, which is not known for having a strong public records law, does have a very pro-requestor provision related to acknowledgement</w:t>
      </w:r>
      <w:r w:rsidR="007F272B">
        <w:t xml:space="preserve"> – but it only seems to apply when the request is misdirected</w:t>
      </w:r>
      <w:r>
        <w:t xml:space="preserve">. The Maryland Public Information Act requires that when a government </w:t>
      </w:r>
      <w:r>
        <w:lastRenderedPageBreak/>
        <w:t xml:space="preserve">official who is not a record custodian receives </w:t>
      </w:r>
      <w:proofErr w:type="gramStart"/>
      <w:r>
        <w:t>a records requests</w:t>
      </w:r>
      <w:proofErr w:type="gramEnd"/>
      <w:r>
        <w:t>, they must notify the requestor withing 10 working day</w:t>
      </w:r>
      <w:r w:rsidR="005E4F9E">
        <w:t>s</w:t>
      </w:r>
      <w:r>
        <w:t>.</w:t>
      </w:r>
      <w:r>
        <w:rPr>
          <w:rStyle w:val="FootnoteReference"/>
        </w:rPr>
        <w:footnoteReference w:id="34"/>
      </w:r>
      <w:r>
        <w:t xml:space="preserve"> The statute goes further, requiring that the official must also provide the name of the custodian and likely location of the record sought, if they know. Michigan’s Freedom of Information Act contains an alternate version of the provision, requiring public officials to “promptly forward requests they receive to the freedom of information act coordinator.</w:t>
      </w:r>
      <w:r>
        <w:rPr>
          <w:rStyle w:val="FootnoteReference"/>
        </w:rPr>
        <w:footnoteReference w:id="35"/>
      </w:r>
      <w:r>
        <w:t xml:space="preserve"> </w:t>
      </w:r>
      <w:r w:rsidR="00A96005">
        <w:t>New Jersey’s law has a similar provision.</w:t>
      </w:r>
      <w:r w:rsidR="007F272B">
        <w:rPr>
          <w:rStyle w:val="FootnoteReference"/>
        </w:rPr>
        <w:footnoteReference w:id="36"/>
      </w:r>
      <w:r w:rsidR="00A96005">
        <w:t xml:space="preserve"> </w:t>
      </w:r>
      <w:r>
        <w:t>Given that government officials often having a working knowledge of internal operations that members of the public lack, these statutes seem to establish what might be considered a good-faith effort to help the public get access to information. If the presumption is that government records are open and available, these provisions create a bare minimum for upholding an objective of transparency.</w:t>
      </w:r>
    </w:p>
    <w:p w14:paraId="03C1D481" w14:textId="4CD1C443" w:rsidR="003B5585" w:rsidRDefault="003B5585" w:rsidP="003B5585">
      <w:pPr>
        <w:spacing w:line="480" w:lineRule="auto"/>
      </w:pPr>
      <w:r>
        <w:tab/>
        <w:t>Requiring that government agencies acknowledge the receipt of a public records request does not create a burden for government agencies</w:t>
      </w:r>
      <w:r w:rsidR="00B77BBE">
        <w:t xml:space="preserve"> and clearly represents a best practice in terms of government transparency</w:t>
      </w:r>
      <w:r>
        <w:t xml:space="preserve">. </w:t>
      </w:r>
      <w:r w:rsidR="00B77BBE">
        <w:t>M</w:t>
      </w:r>
      <w:r>
        <w:t xml:space="preserve">any agencies who take requests via email or an online form can automate the process so that individual intervention is not required. </w:t>
      </w:r>
      <w:r w:rsidR="00B77BBE">
        <w:t xml:space="preserve">In those cases, the system would simply </w:t>
      </w:r>
      <w:proofErr w:type="gramStart"/>
      <w:r w:rsidR="00B77BBE">
        <w:t>reply back</w:t>
      </w:r>
      <w:proofErr w:type="gramEnd"/>
      <w:r w:rsidR="00B77BBE">
        <w:t xml:space="preserve"> with an email or on-screen message that tells the requestor that their request has been received. </w:t>
      </w:r>
      <w:r w:rsidR="00BB1081">
        <w:t xml:space="preserve">For agencies still processing paper requests, a form letter with a few fillable spaces would suffice. Either way, requiring government agencies to acknowledge the receipt of records requests would go a long way toward improving accountability. </w:t>
      </w:r>
    </w:p>
    <w:p w14:paraId="26631914" w14:textId="63103B07" w:rsidR="00BB1081" w:rsidRDefault="00BB1081" w:rsidP="003B5585">
      <w:pPr>
        <w:spacing w:line="480" w:lineRule="auto"/>
      </w:pPr>
      <w:r>
        <w:lastRenderedPageBreak/>
        <w:tab/>
        <w:t xml:space="preserve">Best practices for acknowledging receipt of a records request, however, requires more than the </w:t>
      </w:r>
      <w:r w:rsidR="00D6278B">
        <w:t xml:space="preserve">vague language the </w:t>
      </w:r>
      <w:r>
        <w:t xml:space="preserve">Florida statute </w:t>
      </w:r>
      <w:r w:rsidR="00D6278B">
        <w:t>contains</w:t>
      </w:r>
      <w:r>
        <w:t>. One might envision a statutory provision that mandates:</w:t>
      </w:r>
    </w:p>
    <w:p w14:paraId="472215A3" w14:textId="00B57169" w:rsidR="00BB1081" w:rsidRDefault="00BB1081" w:rsidP="00BB1081">
      <w:pPr>
        <w:pStyle w:val="ListParagraph"/>
        <w:numPr>
          <w:ilvl w:val="0"/>
          <w:numId w:val="1"/>
        </w:numPr>
        <w:spacing w:line="480" w:lineRule="auto"/>
      </w:pPr>
      <w:r>
        <w:t xml:space="preserve">Public records custodians or their designees must acknowledge all requests to inspect or copy records in the same manner they were received within two business days. </w:t>
      </w:r>
    </w:p>
    <w:p w14:paraId="1F3BDE27" w14:textId="1CE93EBE" w:rsidR="00BB1081" w:rsidRDefault="00BB1081" w:rsidP="00BB1081">
      <w:pPr>
        <w:pStyle w:val="ListParagraph"/>
        <w:numPr>
          <w:ilvl w:val="0"/>
          <w:numId w:val="1"/>
        </w:numPr>
        <w:spacing w:line="480" w:lineRule="auto"/>
      </w:pPr>
      <w:r>
        <w:t>Acknowledgements of a records request should contain, at a minimum:</w:t>
      </w:r>
    </w:p>
    <w:p w14:paraId="2EA65060" w14:textId="747C23B5" w:rsidR="00BB1081" w:rsidRDefault="00BB1081" w:rsidP="00BB1081">
      <w:pPr>
        <w:pStyle w:val="ListParagraph"/>
        <w:numPr>
          <w:ilvl w:val="1"/>
          <w:numId w:val="1"/>
        </w:numPr>
        <w:spacing w:line="480" w:lineRule="auto"/>
      </w:pPr>
      <w:r>
        <w:t>The date the request was received.</w:t>
      </w:r>
    </w:p>
    <w:p w14:paraId="5972D276" w14:textId="5C6AC895" w:rsidR="00F01F4D" w:rsidRDefault="00F01F4D" w:rsidP="00BB1081">
      <w:pPr>
        <w:pStyle w:val="ListParagraph"/>
        <w:numPr>
          <w:ilvl w:val="1"/>
          <w:numId w:val="1"/>
        </w:numPr>
        <w:spacing w:line="480" w:lineRule="auto"/>
      </w:pPr>
      <w:r>
        <w:t>The name and contact information for the records custodian who most likely has access to the requested record if the request was improperly filed.</w:t>
      </w:r>
    </w:p>
    <w:p w14:paraId="6CCCC65E" w14:textId="77777777" w:rsidR="00BB1081" w:rsidRDefault="00BB1081" w:rsidP="00BB1081">
      <w:pPr>
        <w:pStyle w:val="ListParagraph"/>
        <w:numPr>
          <w:ilvl w:val="1"/>
          <w:numId w:val="1"/>
        </w:numPr>
        <w:spacing w:line="480" w:lineRule="auto"/>
      </w:pPr>
      <w:proofErr w:type="gramStart"/>
      <w:r>
        <w:t>The statutorily imposed timeframe in which the government agency has to produce or deny access to the records.</w:t>
      </w:r>
      <w:proofErr w:type="gramEnd"/>
    </w:p>
    <w:p w14:paraId="5A233A44" w14:textId="4C0B90D8" w:rsidR="00BB1081" w:rsidRDefault="00BB1081" w:rsidP="00BB1081">
      <w:pPr>
        <w:pStyle w:val="ListParagraph"/>
        <w:numPr>
          <w:ilvl w:val="1"/>
          <w:numId w:val="1"/>
        </w:numPr>
        <w:spacing w:line="480" w:lineRule="auto"/>
      </w:pPr>
      <w:r>
        <w:t>The remedy available to</w:t>
      </w:r>
      <w:r w:rsidR="00D6278B">
        <w:t>, and appropriate point of contact for,</w:t>
      </w:r>
      <w:r>
        <w:t xml:space="preserve"> requestors should the government agency not meet the statutorily imposed time frame to produce or deny records.</w:t>
      </w:r>
    </w:p>
    <w:p w14:paraId="7B589183" w14:textId="775EFB0B" w:rsidR="00B53C0D" w:rsidRPr="00DA6794" w:rsidRDefault="00BB1081" w:rsidP="003B5585">
      <w:pPr>
        <w:pStyle w:val="ListParagraph"/>
        <w:numPr>
          <w:ilvl w:val="1"/>
          <w:numId w:val="1"/>
        </w:numPr>
        <w:spacing w:line="480" w:lineRule="auto"/>
      </w:pPr>
      <w:r>
        <w:t>The remedy available to</w:t>
      </w:r>
      <w:r w:rsidR="00D6278B">
        <w:t>,</w:t>
      </w:r>
      <w:r w:rsidR="00D6278B" w:rsidRPr="00D6278B">
        <w:t xml:space="preserve"> </w:t>
      </w:r>
      <w:r w:rsidR="00D6278B">
        <w:t>and appropriate point of contact for,</w:t>
      </w:r>
      <w:r>
        <w:t xml:space="preserve"> requestors should the government agency improperly deny access to the records sought by the requestor. </w:t>
      </w:r>
    </w:p>
    <w:p w14:paraId="370CE44E" w14:textId="41DDCD23" w:rsidR="00B53C0D" w:rsidRPr="003B5585" w:rsidRDefault="008141DC" w:rsidP="003B5585">
      <w:pPr>
        <w:spacing w:line="480" w:lineRule="auto"/>
        <w:ind w:firstLine="720"/>
        <w:rPr>
          <w:i/>
          <w:iCs/>
        </w:rPr>
      </w:pPr>
      <w:r w:rsidRPr="003B5585">
        <w:rPr>
          <w:i/>
          <w:iCs/>
        </w:rPr>
        <w:t xml:space="preserve">Required Response: </w:t>
      </w:r>
      <w:r w:rsidR="00B53C0D" w:rsidRPr="003B5585">
        <w:rPr>
          <w:i/>
          <w:iCs/>
        </w:rPr>
        <w:t>Production</w:t>
      </w:r>
      <w:r w:rsidRPr="003B5585">
        <w:rPr>
          <w:i/>
          <w:iCs/>
        </w:rPr>
        <w:t xml:space="preserve"> (or Denial)</w:t>
      </w:r>
      <w:r w:rsidR="00B53C0D" w:rsidRPr="003B5585">
        <w:rPr>
          <w:i/>
          <w:iCs/>
        </w:rPr>
        <w:t xml:space="preserve"> of Records</w:t>
      </w:r>
    </w:p>
    <w:p w14:paraId="26B7BD8D" w14:textId="28AE4DBE" w:rsidR="00B53C0D" w:rsidRDefault="00DA6794" w:rsidP="003B5585">
      <w:pPr>
        <w:spacing w:line="480" w:lineRule="auto"/>
      </w:pPr>
      <w:r>
        <w:tab/>
        <w:t>In much of the United States, it’s legally possible for requestors to simply never hear back from a government entity after they’ve made a public records request. More than 20 percent of state public records laws have no specified time frame by which an agency must produce or</w:t>
      </w:r>
      <w:r w:rsidR="00470EF5">
        <w:t xml:space="preserve"> </w:t>
      </w:r>
      <w:r>
        <w:lastRenderedPageBreak/>
        <w:t>deny records. Statutes in Alabama</w:t>
      </w:r>
      <w:r w:rsidR="009049C6">
        <w:rPr>
          <w:rStyle w:val="FootnoteReference"/>
        </w:rPr>
        <w:footnoteReference w:id="37"/>
      </w:r>
      <w:r>
        <w:t>, Alaska</w:t>
      </w:r>
      <w:r w:rsidR="009049C6">
        <w:rPr>
          <w:rStyle w:val="FootnoteReference"/>
        </w:rPr>
        <w:footnoteReference w:id="38"/>
      </w:r>
      <w:r>
        <w:t>, Arizona</w:t>
      </w:r>
      <w:r w:rsidR="009049C6">
        <w:rPr>
          <w:rStyle w:val="FootnoteReference"/>
        </w:rPr>
        <w:footnoteReference w:id="39"/>
      </w:r>
      <w:r>
        <w:t>, Hawaii</w:t>
      </w:r>
      <w:r w:rsidR="009049C6">
        <w:rPr>
          <w:rStyle w:val="FootnoteReference"/>
        </w:rPr>
        <w:footnoteReference w:id="40"/>
      </w:r>
      <w:r>
        <w:t>, Iowa</w:t>
      </w:r>
      <w:r w:rsidR="009049C6">
        <w:rPr>
          <w:rStyle w:val="FootnoteReference"/>
        </w:rPr>
        <w:footnoteReference w:id="41"/>
      </w:r>
      <w:r>
        <w:t>, Michigan</w:t>
      </w:r>
      <w:r w:rsidR="009049C6">
        <w:rPr>
          <w:rStyle w:val="FootnoteReference"/>
        </w:rPr>
        <w:footnoteReference w:id="42"/>
      </w:r>
      <w:r>
        <w:t>, Mississippi</w:t>
      </w:r>
      <w:r w:rsidR="009049C6">
        <w:rPr>
          <w:rStyle w:val="FootnoteReference"/>
        </w:rPr>
        <w:footnoteReference w:id="43"/>
      </w:r>
      <w:r>
        <w:t>, North Carolina</w:t>
      </w:r>
      <w:r w:rsidR="009049C6">
        <w:rPr>
          <w:rStyle w:val="FootnoteReference"/>
        </w:rPr>
        <w:footnoteReference w:id="44"/>
      </w:r>
      <w:r>
        <w:t>, North Dakota</w:t>
      </w:r>
      <w:r w:rsidR="009049C6">
        <w:rPr>
          <w:rStyle w:val="FootnoteReference"/>
        </w:rPr>
        <w:footnoteReference w:id="45"/>
      </w:r>
      <w:r>
        <w:t xml:space="preserve"> and South Dakota</w:t>
      </w:r>
      <w:r w:rsidR="009049C6">
        <w:rPr>
          <w:rStyle w:val="FootnoteReference"/>
        </w:rPr>
        <w:footnoteReference w:id="46"/>
      </w:r>
      <w:r>
        <w:t xml:space="preserve"> fall into this category. Perhaps even more troubling is that some states laws that do contain time frames consider a non-response to automatically be a denial. The failure to have a stated deadline for producing or deny records dramatically weakens the power of an open records law by allowing government entities to legally engage in stall tactics.</w:t>
      </w:r>
    </w:p>
    <w:p w14:paraId="4ACD5999" w14:textId="77777777" w:rsidR="009D73FA" w:rsidRDefault="00DA6794" w:rsidP="003B5585">
      <w:pPr>
        <w:spacing w:line="480" w:lineRule="auto"/>
      </w:pPr>
      <w:r>
        <w:tab/>
        <w:t>Instituting a production deadline is a step in the right direction, but it requires specificity of timeframe to be meaningful. Another nearly 20 percent of states who require a response related to production or denial of records use vague language in their statutes. Florida</w:t>
      </w:r>
      <w:r w:rsidR="00470EF5">
        <w:rPr>
          <w:rStyle w:val="FootnoteReference"/>
        </w:rPr>
        <w:footnoteReference w:id="47"/>
      </w:r>
      <w:r>
        <w:t xml:space="preserve">, </w:t>
      </w:r>
      <w:r>
        <w:lastRenderedPageBreak/>
        <w:t>Minnesota</w:t>
      </w:r>
      <w:r w:rsidR="00470EF5">
        <w:rPr>
          <w:rStyle w:val="FootnoteReference"/>
        </w:rPr>
        <w:footnoteReference w:id="48"/>
      </w:r>
      <w:r>
        <w:t>, Ohio</w:t>
      </w:r>
      <w:r w:rsidR="00470EF5">
        <w:rPr>
          <w:rStyle w:val="FootnoteReference"/>
        </w:rPr>
        <w:footnoteReference w:id="49"/>
      </w:r>
      <w:r>
        <w:t>, Oklahoma</w:t>
      </w:r>
      <w:r w:rsidR="00470EF5">
        <w:rPr>
          <w:rStyle w:val="FootnoteReference"/>
        </w:rPr>
        <w:footnoteReference w:id="50"/>
      </w:r>
      <w:r>
        <w:t xml:space="preserve"> and Texas</w:t>
      </w:r>
      <w:r w:rsidR="00470EF5">
        <w:rPr>
          <w:rStyle w:val="FootnoteReference"/>
        </w:rPr>
        <w:footnoteReference w:id="51"/>
      </w:r>
      <w:r>
        <w:t xml:space="preserve"> all rely on some version of “prompt” in their public records laws. Although these laws plainly define other terms like “record” or “official,” they do not define “prompt.” </w:t>
      </w:r>
    </w:p>
    <w:p w14:paraId="09B9BBF8" w14:textId="77777777" w:rsidR="009D73FA" w:rsidRDefault="009D73FA" w:rsidP="009D73FA">
      <w:pPr>
        <w:spacing w:line="480" w:lineRule="auto"/>
        <w:ind w:firstLine="720"/>
      </w:pPr>
      <w:r>
        <w:t>Further, courts have rarely weighed in to interpret what “promptly” means in these statutes. For example, the Texas Public Information Act requires government agencies to fulfill records requests “promptly,” which the statute defines as “as soon as possible under the circumstances, that is, within a reasonable time, without delay.”</w:t>
      </w:r>
      <w:r>
        <w:rPr>
          <w:rStyle w:val="FootnoteReference"/>
        </w:rPr>
        <w:footnoteReference w:id="52"/>
      </w:r>
      <w:r>
        <w:t xml:space="preserve"> Agencies may also seek an opinion of the attorney general within 10 business days of a request. During the COVID-19 pandemic, some offices in the state delayed responses under guidance from the attorney general that “business days” did not include days in which the offices were physically closed due to the pandemic. A Texas appellate court found that this guidance, which allowed agencies to delay responses “without limit or regard to duration,” even if government officials worked remotely.</w:t>
      </w:r>
      <w:r>
        <w:rPr>
          <w:rStyle w:val="FootnoteReference"/>
        </w:rPr>
        <w:footnoteReference w:id="53"/>
      </w:r>
      <w:r>
        <w:t xml:space="preserve"> </w:t>
      </w:r>
      <w:r>
        <w:lastRenderedPageBreak/>
        <w:t>This kind of delay was thus “inconsistent with the TPIA as a whole” which “requires a governmental body to ‘promptly produce public information.’”</w:t>
      </w:r>
      <w:r>
        <w:rPr>
          <w:rStyle w:val="FootnoteReference"/>
        </w:rPr>
        <w:footnoteReference w:id="54"/>
      </w:r>
      <w:r>
        <w:t xml:space="preserve"> As a remedy, the court found that the government agency’s lack of response constituted a “refusal” under the Public Information Act.</w:t>
      </w:r>
      <w:r>
        <w:rPr>
          <w:rStyle w:val="FootnoteReference"/>
        </w:rPr>
        <w:footnoteReference w:id="55"/>
      </w:r>
      <w:r>
        <w:t xml:space="preserve"> </w:t>
      </w:r>
    </w:p>
    <w:p w14:paraId="42F3275C" w14:textId="19088494" w:rsidR="009D73FA" w:rsidRDefault="009D73FA" w:rsidP="00A73618">
      <w:pPr>
        <w:spacing w:line="480" w:lineRule="auto"/>
        <w:ind w:firstLine="720"/>
      </w:pPr>
      <w:r>
        <w:t>Remedies for failure to respond promptly were also an issue in a case decided by the Texas Supreme Court in 2017. In this case, the City of Dallas delayed until after the 10-day deadline in handling a pair of requests, with one request coming 26 days later and another coming 49 days later, with city saying the delay was due to “inadvertence.”</w:t>
      </w:r>
      <w:r>
        <w:rPr>
          <w:rStyle w:val="FootnoteReference"/>
        </w:rPr>
        <w:footnoteReference w:id="56"/>
      </w:r>
      <w:r>
        <w:t xml:space="preserve"> The requester asserted that the documents requested were now presumed to be open and must be disclosed. The court recognized the “public’s interest in the ‘prompt’ production of public information,” and found that the city now had the burden to establish a “compelling reason” not to disclose the materials requested.</w:t>
      </w:r>
      <w:r>
        <w:rPr>
          <w:rStyle w:val="FootnoteReference"/>
        </w:rPr>
        <w:footnoteReference w:id="57"/>
      </w:r>
      <w:r>
        <w:t xml:space="preserve"> Nevertheless, the court found that the interests in question—in this case, attorney-client communications—were “countervailing interests of the utmost importance” and thus allowed the city’s violation of timeliness language to go unremedied.</w:t>
      </w:r>
      <w:r>
        <w:rPr>
          <w:rStyle w:val="FootnoteReference"/>
        </w:rPr>
        <w:footnoteReference w:id="58"/>
      </w:r>
      <w:r>
        <w:t xml:space="preserve"> In 2010, the Texas Supreme Court also allowed a delay outside the 10-day time for a request for an attorney general opinion go without remedy, overturning lower court decisions that would have required the documents to be produced to the requester.</w:t>
      </w:r>
      <w:r>
        <w:rPr>
          <w:rStyle w:val="FootnoteReference"/>
        </w:rPr>
        <w:footnoteReference w:id="59"/>
      </w:r>
      <w:r>
        <w:t xml:space="preserve"> The court in essence invented a “bad faith” standard, finding that the government agency’s requests for clarification tolled the 10-day limit and were not made “in bad faith merely to delay production of public information” and thus were </w:t>
      </w:r>
      <w:r>
        <w:lastRenderedPageBreak/>
        <w:t>allowable. Two dissenting judges would have held the government agency to the “compelling reason” standard and pointed out that allowing government agencies to reset time periods in this manner “imposes no additional incentive to timely produce information sought within the original request that is also sought in the clarification.”</w:t>
      </w:r>
      <w:r>
        <w:rPr>
          <w:rStyle w:val="FootnoteReference"/>
        </w:rPr>
        <w:footnoteReference w:id="60"/>
      </w:r>
    </w:p>
    <w:p w14:paraId="4650ADC0" w14:textId="72A143D3" w:rsidR="00DA6794" w:rsidRDefault="009D73FA" w:rsidP="00A73618">
      <w:pPr>
        <w:spacing w:line="480" w:lineRule="auto"/>
        <w:ind w:firstLine="720"/>
      </w:pPr>
      <w:r>
        <w:t xml:space="preserve">Rather than “promptly,” </w:t>
      </w:r>
      <w:r w:rsidR="00DA6794">
        <w:t>Colorado</w:t>
      </w:r>
      <w:r w:rsidR="00470EF5">
        <w:rPr>
          <w:rStyle w:val="FootnoteReference"/>
        </w:rPr>
        <w:footnoteReference w:id="61"/>
      </w:r>
      <w:r w:rsidR="00DA6794">
        <w:t xml:space="preserve"> and Indiana</w:t>
      </w:r>
      <w:r w:rsidR="00470EF5">
        <w:rPr>
          <w:rStyle w:val="FootnoteReference"/>
        </w:rPr>
        <w:footnoteReference w:id="62"/>
      </w:r>
      <w:r w:rsidR="00DA6794">
        <w:t xml:space="preserve"> use the word “reasonable” to describe the required response time while Montana</w:t>
      </w:r>
      <w:r w:rsidR="00470EF5">
        <w:rPr>
          <w:rStyle w:val="FootnoteReference"/>
        </w:rPr>
        <w:footnoteReference w:id="63"/>
      </w:r>
      <w:r w:rsidR="00DA6794">
        <w:t xml:space="preserve"> says production or denial must occur in a “timely fashion.” Iowa</w:t>
      </w:r>
      <w:r w:rsidR="00E36938">
        <w:rPr>
          <w:rStyle w:val="FootnoteReference"/>
        </w:rPr>
        <w:footnoteReference w:id="64"/>
      </w:r>
      <w:r w:rsidR="00DA6794">
        <w:t xml:space="preserve"> takes a bit different approach, acknowledging that “reasonable delay is permitted.” </w:t>
      </w:r>
      <w:r>
        <w:t xml:space="preserve">All of these provisions present the same issue as the use of “prompt.” </w:t>
      </w:r>
      <w:r w:rsidR="00DA6794">
        <w:t xml:space="preserve">State courts, of course, could eventually interpret the vague language and determine an appropriate </w:t>
      </w:r>
      <w:proofErr w:type="gramStart"/>
      <w:r w:rsidR="00DA6794">
        <w:t>period of time</w:t>
      </w:r>
      <w:proofErr w:type="gramEnd"/>
      <w:r w:rsidR="00DA6794">
        <w:t xml:space="preserve"> for a response, but that leaves states with a lot of leeway until someone decides to sue to enforce their access rights. </w:t>
      </w:r>
    </w:p>
    <w:p w14:paraId="66AA6F5F" w14:textId="658A7D49" w:rsidR="00DA6794" w:rsidRDefault="00DA6794" w:rsidP="003B5585">
      <w:pPr>
        <w:spacing w:line="480" w:lineRule="auto"/>
      </w:pPr>
      <w:r>
        <w:tab/>
        <w:t xml:space="preserve">The majority (60%) of state public records laws do contain a specific provision with deadlines for production or denial of records. The allowable </w:t>
      </w:r>
      <w:proofErr w:type="gramStart"/>
      <w:r>
        <w:t>time frames</w:t>
      </w:r>
      <w:proofErr w:type="gramEnd"/>
      <w:r>
        <w:t xml:space="preserve"> vary pretty dramatically from three working days to 30 days, with the most common time frame being 5 business or </w:t>
      </w:r>
      <w:r>
        <w:lastRenderedPageBreak/>
        <w:t>working days. Illinois</w:t>
      </w:r>
      <w:r w:rsidR="00EC0552">
        <w:rPr>
          <w:rStyle w:val="FootnoteReference"/>
        </w:rPr>
        <w:footnoteReference w:id="65"/>
      </w:r>
      <w:r>
        <w:t>, Maine</w:t>
      </w:r>
      <w:r w:rsidR="00EC0552">
        <w:rPr>
          <w:rStyle w:val="FootnoteReference"/>
        </w:rPr>
        <w:footnoteReference w:id="66"/>
      </w:r>
      <w:r>
        <w:t>, Nevada</w:t>
      </w:r>
      <w:r w:rsidR="00EC0552">
        <w:rPr>
          <w:rStyle w:val="FootnoteReference"/>
        </w:rPr>
        <w:footnoteReference w:id="67"/>
      </w:r>
      <w:r>
        <w:t>, New Hampshire</w:t>
      </w:r>
      <w:r w:rsidR="00D5671D">
        <w:rPr>
          <w:rStyle w:val="FootnoteReference"/>
        </w:rPr>
        <w:footnoteReference w:id="68"/>
      </w:r>
      <w:r>
        <w:t>, New York</w:t>
      </w:r>
      <w:r w:rsidR="00D5671D">
        <w:rPr>
          <w:rStyle w:val="FootnoteReference"/>
        </w:rPr>
        <w:footnoteReference w:id="69"/>
      </w:r>
      <w:r>
        <w:t>, Oregon</w:t>
      </w:r>
      <w:r w:rsidR="00D5671D">
        <w:rPr>
          <w:rStyle w:val="FootnoteReference"/>
        </w:rPr>
        <w:footnoteReference w:id="70"/>
      </w:r>
      <w:r>
        <w:t>, Pennsylvania</w:t>
      </w:r>
      <w:r w:rsidR="00D5671D">
        <w:rPr>
          <w:rStyle w:val="FootnoteReference"/>
        </w:rPr>
        <w:footnoteReference w:id="71"/>
      </w:r>
      <w:r>
        <w:t>, Virginia</w:t>
      </w:r>
      <w:r w:rsidR="00D5671D">
        <w:rPr>
          <w:rStyle w:val="FootnoteReference"/>
        </w:rPr>
        <w:footnoteReference w:id="72"/>
      </w:r>
      <w:r>
        <w:t>, Washington</w:t>
      </w:r>
      <w:r w:rsidR="00D5671D">
        <w:rPr>
          <w:rStyle w:val="FootnoteReference"/>
        </w:rPr>
        <w:footnoteReference w:id="73"/>
      </w:r>
      <w:r>
        <w:t xml:space="preserve"> and West Virginia</w:t>
      </w:r>
      <w:r w:rsidR="00D5671D">
        <w:rPr>
          <w:rStyle w:val="FootnoteReference"/>
        </w:rPr>
        <w:footnoteReference w:id="74"/>
      </w:r>
      <w:r>
        <w:t xml:space="preserve"> have all adopted this standard. Another seven states have set a firmer deadline of three business or working days – which may be largely impractical for government entities that get large numbers of public records requests. </w:t>
      </w:r>
      <w:proofErr w:type="spellStart"/>
      <w:r>
        <w:t>MuckRock</w:t>
      </w:r>
      <w:proofErr w:type="spellEnd"/>
      <w:r>
        <w:t xml:space="preserve"> and other research has certainly suggested that government entities in most states are not adhering to these specified time frames.</w:t>
      </w:r>
    </w:p>
    <w:p w14:paraId="5C6B9356" w14:textId="76C00456" w:rsidR="00DA6794" w:rsidRDefault="00DA6794" w:rsidP="00DA6794">
      <w:pPr>
        <w:spacing w:line="480" w:lineRule="auto"/>
        <w:ind w:firstLine="720"/>
      </w:pPr>
      <w:r>
        <w:t>Best practices for producing or denying public records, however, is about more than the time frame within which a state responds. One might envision a statutory provision that mandates:</w:t>
      </w:r>
    </w:p>
    <w:p w14:paraId="3F735DF7" w14:textId="595EFBF9" w:rsidR="00DA6794" w:rsidRDefault="00DA6794" w:rsidP="00DA6794">
      <w:pPr>
        <w:pStyle w:val="ListParagraph"/>
        <w:numPr>
          <w:ilvl w:val="0"/>
          <w:numId w:val="2"/>
        </w:numPr>
        <w:spacing w:line="480" w:lineRule="auto"/>
      </w:pPr>
      <w:r>
        <w:t xml:space="preserve">A specified, but realistic, date for production or denial after the request has been acknowledged. </w:t>
      </w:r>
      <w:proofErr w:type="gramStart"/>
      <w:r>
        <w:t>We’d</w:t>
      </w:r>
      <w:proofErr w:type="gramEnd"/>
      <w:r>
        <w:t xml:space="preserve"> suggest </w:t>
      </w:r>
      <w:r w:rsidR="00EC0552">
        <w:t>10</w:t>
      </w:r>
      <w:r>
        <w:t xml:space="preserve"> business days</w:t>
      </w:r>
      <w:r w:rsidR="00EC0552">
        <w:t xml:space="preserve"> – similar to the Texas proposal discussed </w:t>
      </w:r>
      <w:r w:rsidR="00EC0552">
        <w:rPr>
          <w:i/>
          <w:iCs/>
        </w:rPr>
        <w:t>infra</w:t>
      </w:r>
      <w:r>
        <w:t>.</w:t>
      </w:r>
    </w:p>
    <w:p w14:paraId="000B5D8B" w14:textId="575322E7" w:rsidR="00DA6794" w:rsidRPr="00DA6794" w:rsidRDefault="00DA6794" w:rsidP="00DA6794">
      <w:pPr>
        <w:pStyle w:val="ListParagraph"/>
        <w:numPr>
          <w:ilvl w:val="0"/>
          <w:numId w:val="2"/>
        </w:numPr>
        <w:spacing w:line="480" w:lineRule="auto"/>
      </w:pPr>
      <w:r>
        <w:t>Penalties for non-compliance with the required time frame. Fines and/or even jail time should be permissible.</w:t>
      </w:r>
    </w:p>
    <w:p w14:paraId="49C48BB4" w14:textId="6E9FA035" w:rsidR="00DA6794" w:rsidRDefault="00DA6794" w:rsidP="00DA6794">
      <w:pPr>
        <w:pStyle w:val="ListParagraph"/>
        <w:numPr>
          <w:ilvl w:val="0"/>
          <w:numId w:val="2"/>
        </w:numPr>
        <w:spacing w:line="480" w:lineRule="auto"/>
      </w:pPr>
      <w:r>
        <w:t xml:space="preserve">A process for requesting expedited processing in cases where the information is of public importance. </w:t>
      </w:r>
    </w:p>
    <w:p w14:paraId="0104E7CC" w14:textId="77777777" w:rsidR="00DA6794" w:rsidRDefault="00DA6794" w:rsidP="00DA6794">
      <w:pPr>
        <w:pStyle w:val="ListParagraph"/>
        <w:numPr>
          <w:ilvl w:val="0"/>
          <w:numId w:val="2"/>
        </w:numPr>
        <w:spacing w:line="480" w:lineRule="auto"/>
      </w:pPr>
      <w:r>
        <w:lastRenderedPageBreak/>
        <w:t>The requirement than any denial letter contain the specific exemption under which the request was denied.</w:t>
      </w:r>
    </w:p>
    <w:p w14:paraId="0855BE20" w14:textId="4B603312" w:rsidR="00DA6794" w:rsidRDefault="00DA6794" w:rsidP="003B5585">
      <w:pPr>
        <w:pStyle w:val="ListParagraph"/>
        <w:numPr>
          <w:ilvl w:val="0"/>
          <w:numId w:val="2"/>
        </w:numPr>
        <w:spacing w:line="480" w:lineRule="auto"/>
      </w:pPr>
      <w:r w:rsidRPr="00DA6794">
        <w:t xml:space="preserve">The remedy available to, and appropriate point of contact for, requestors should the government agency improperly </w:t>
      </w:r>
      <w:r>
        <w:t>withhold</w:t>
      </w:r>
      <w:r w:rsidRPr="00DA6794">
        <w:t xml:space="preserve"> the records sought by the requestor. </w:t>
      </w:r>
    </w:p>
    <w:p w14:paraId="449415C7" w14:textId="423A28D5" w:rsidR="00DA6794" w:rsidRPr="00DA6794" w:rsidRDefault="00DA6794" w:rsidP="00DA6794">
      <w:pPr>
        <w:spacing w:line="480" w:lineRule="auto"/>
        <w:ind w:firstLine="720"/>
      </w:pPr>
      <w:r>
        <w:t>Many state statutes have been updated to include provisions that reflect changes in technology</w:t>
      </w:r>
      <w:r w:rsidR="00B67B4A">
        <w:rPr>
          <w:rStyle w:val="FootnoteReference"/>
        </w:rPr>
        <w:footnoteReference w:id="75"/>
      </w:r>
      <w:r>
        <w:t>, but they have not been drafted to include provisions that really support their stated commitments to openness and government transparency. Although it is great to ensure that records kept in an electronic format are provided in an electronic format, such a provision is meaningless when a government entity can merely ignore public records requests. At a minimum, statutes need acknowledgement and production provisions that support requestors in their search for records.</w:t>
      </w:r>
    </w:p>
    <w:p w14:paraId="6A0BFABD" w14:textId="0845E031" w:rsidR="00DA6794" w:rsidRDefault="00DA6794" w:rsidP="003B5585">
      <w:pPr>
        <w:spacing w:line="480" w:lineRule="auto"/>
        <w:rPr>
          <w:b/>
          <w:bCs/>
        </w:rPr>
      </w:pPr>
      <w:r>
        <w:rPr>
          <w:b/>
          <w:bCs/>
        </w:rPr>
        <w:t>Case Study: One State’s Effort to Require Response</w:t>
      </w:r>
    </w:p>
    <w:p w14:paraId="7BB679A9" w14:textId="1B78167F" w:rsidR="00DA6794" w:rsidRDefault="00DA6794" w:rsidP="003B5585">
      <w:pPr>
        <w:spacing w:line="480" w:lineRule="auto"/>
      </w:pPr>
      <w:r>
        <w:tab/>
        <w:t>In 2021, state lawmakers introduced legislation to try to close the response loophole in the Texas Public Information Act. Section 552.221 requires “</w:t>
      </w:r>
      <w:r w:rsidRPr="00DA6794">
        <w:t>An officer for public information of a governmental body shall promptly produce public information for inspection, duplication, or both on application by any person to the officer.</w:t>
      </w:r>
      <w:r>
        <w:t>”</w:t>
      </w:r>
      <w:r w:rsidR="00B67B4A">
        <w:rPr>
          <w:rStyle w:val="FootnoteReference"/>
        </w:rPr>
        <w:footnoteReference w:id="76"/>
      </w:r>
      <w:r>
        <w:t xml:space="preserve"> It continues,</w:t>
      </w:r>
      <w:r w:rsidRPr="00DA6794">
        <w:t xml:space="preserve"> </w:t>
      </w:r>
      <w:r>
        <w:t>“</w:t>
      </w:r>
      <w:r w:rsidRPr="00DA6794">
        <w:t xml:space="preserve">In this subsection, </w:t>
      </w:r>
      <w:r>
        <w:t>‘</w:t>
      </w:r>
      <w:r w:rsidRPr="00DA6794">
        <w:t>promptly</w:t>
      </w:r>
      <w:r>
        <w:t>’</w:t>
      </w:r>
      <w:r w:rsidRPr="00DA6794">
        <w:t xml:space="preserve"> means as soon as possible under the circumstances, that is, within a reasonable time, without delay.</w:t>
      </w:r>
      <w:r>
        <w:t>”</w:t>
      </w:r>
      <w:r w:rsidR="00B67B4A">
        <w:rPr>
          <w:rStyle w:val="FootnoteReference"/>
        </w:rPr>
        <w:footnoteReference w:id="77"/>
      </w:r>
      <w:r>
        <w:t xml:space="preserve"> Yet, in the </w:t>
      </w:r>
      <w:proofErr w:type="spellStart"/>
      <w:r>
        <w:t>MuckRock</w:t>
      </w:r>
      <w:proofErr w:type="spellEnd"/>
      <w:r>
        <w:t xml:space="preserve"> experiment, Texas agencies averaged 69 days for responding to </w:t>
      </w:r>
      <w:r>
        <w:lastRenderedPageBreak/>
        <w:t>public records requests.</w:t>
      </w:r>
      <w:r w:rsidR="00B67B4A">
        <w:rPr>
          <w:rStyle w:val="FootnoteReference"/>
        </w:rPr>
        <w:footnoteReference w:id="78"/>
      </w:r>
      <w:r>
        <w:t xml:space="preserve"> More than two months to respond hardly seem</w:t>
      </w:r>
      <w:r w:rsidR="00B67B4A">
        <w:t>s</w:t>
      </w:r>
      <w:r>
        <w:t xml:space="preserve"> to comport with the statute’s definition of promptly.</w:t>
      </w:r>
    </w:p>
    <w:p w14:paraId="50C36358" w14:textId="36F44BB4" w:rsidR="00DA6794" w:rsidRDefault="00DA6794" w:rsidP="003B5585">
      <w:pPr>
        <w:spacing w:line="480" w:lineRule="auto"/>
      </w:pPr>
      <w:r>
        <w:tab/>
        <w:t>HB 3015, introduced during the 87th Legislature, attempted to add some stricter parameters to the state’s open records law by requiring a timelier response.</w:t>
      </w:r>
      <w:r>
        <w:rPr>
          <w:rStyle w:val="FootnoteReference"/>
        </w:rPr>
        <w:footnoteReference w:id="79"/>
      </w:r>
      <w:r>
        <w:t xml:space="preserve"> It included a requirement that agencies notify a requestor within 10 business days of the request being received when the agency determines it has no records relevant to the request. Further if the entity determines the records requested are not subject to disclosure, it must notify the requestor within 10 business days, citing the specific provision being used to withhold the records. Finally, it would have provided requestors with recourse should the government entity not respond within 10 days, allowing the requestor to file a written complaint with the attorney general. </w:t>
      </w:r>
    </w:p>
    <w:p w14:paraId="389A1860" w14:textId="3A1510CA" w:rsidR="00DA6794" w:rsidRDefault="00DA6794" w:rsidP="003B5585">
      <w:pPr>
        <w:spacing w:line="480" w:lineRule="auto"/>
      </w:pPr>
      <w:r>
        <w:tab/>
        <w:t xml:space="preserve">The legislation also contains provisions to deter bad-faith attempts to deny requests or withhold records. When a request is improperly withheld, the attorney general may require re-training on public records laws. Further, the agency cannot charge costs for providing the records after they have been improperly withheld. </w:t>
      </w:r>
    </w:p>
    <w:p w14:paraId="5531DAFD" w14:textId="4C99725D" w:rsidR="00DA6794" w:rsidRPr="00DA6794" w:rsidRDefault="00DA6794" w:rsidP="003B5585">
      <w:pPr>
        <w:spacing w:line="480" w:lineRule="auto"/>
      </w:pPr>
      <w:r>
        <w:tab/>
      </w:r>
      <w:r w:rsidR="00C911BB">
        <w:t xml:space="preserve">Transparency advocates in Texas have slowly established a cohort of allies within the legislature, allowing them to introduce numerous minor amendments each session in the hopes that some will be enacted. </w:t>
      </w:r>
      <w:r>
        <w:t xml:space="preserve">Although </w:t>
      </w:r>
      <w:r w:rsidR="00C911BB">
        <w:t>HB 3015</w:t>
      </w:r>
      <w:r>
        <w:t xml:space="preserve"> died in committee, it represents a strong, but practical, attempt to improve a state public records law. As is often the case in Texas, this bill will likely get re-introduced during subsequent legislative sessions with the hope it will make it to the floor for a vote. </w:t>
      </w:r>
      <w:r w:rsidR="00C911BB">
        <w:t xml:space="preserve">Even though it did not become law, bills like HB 3015 are an important tool for open government advocates because they keep government transparency on the agenda. </w:t>
      </w:r>
    </w:p>
    <w:p w14:paraId="6DC592DB" w14:textId="473F7F85" w:rsidR="00B53C0D" w:rsidRPr="003B5585" w:rsidRDefault="00B53C0D" w:rsidP="003B5585">
      <w:pPr>
        <w:spacing w:line="480" w:lineRule="auto"/>
        <w:rPr>
          <w:b/>
          <w:bCs/>
        </w:rPr>
      </w:pPr>
      <w:r w:rsidRPr="003B5585">
        <w:rPr>
          <w:b/>
          <w:bCs/>
        </w:rPr>
        <w:lastRenderedPageBreak/>
        <w:t>Recommendations and Conclusion</w:t>
      </w:r>
    </w:p>
    <w:p w14:paraId="57685D93" w14:textId="44F9210E" w:rsidR="00A96005" w:rsidRDefault="00B53C0D" w:rsidP="003B5585">
      <w:pPr>
        <w:spacing w:line="480" w:lineRule="auto"/>
      </w:pPr>
      <w:r w:rsidRPr="003B5585">
        <w:tab/>
        <w:t xml:space="preserve">Drafting freedom of information laws in ways that better serve the public is not necessarily challenging, but convincing state legislatures to adopt appropriate amendments is another story. </w:t>
      </w:r>
      <w:r w:rsidR="00A96005">
        <w:t xml:space="preserve">In particular, legislatures should consider amendments that remove vague language related to </w:t>
      </w:r>
      <w:proofErr w:type="gramStart"/>
      <w:r w:rsidR="00A96005">
        <w:t>time frames</w:t>
      </w:r>
      <w:proofErr w:type="gramEnd"/>
      <w:r w:rsidR="00A96005">
        <w:t xml:space="preserve"> for expected compliance. State courts may have provided such guidance in the states whose open records provisions use words like “promptly” or “reasonably” – we did not review state court decisions for this project – but leaving those terms up to court interpretation again places the burden on citizens to challenge government actions that seem unreasonable.</w:t>
      </w:r>
    </w:p>
    <w:p w14:paraId="67056C4C" w14:textId="1856E47E" w:rsidR="00B53C0D" w:rsidRDefault="00B53C0D" w:rsidP="00C82A5E">
      <w:pPr>
        <w:spacing w:line="480" w:lineRule="auto"/>
        <w:ind w:firstLine="720"/>
      </w:pPr>
      <w:r w:rsidRPr="003B5585">
        <w:t xml:space="preserve">Even minor amendments can be meaningful, and we </w:t>
      </w:r>
      <w:r w:rsidR="00B328F5">
        <w:t xml:space="preserve">have </w:t>
      </w:r>
      <w:r w:rsidRPr="003B5585">
        <w:t>suggest</w:t>
      </w:r>
      <w:r w:rsidR="00B328F5">
        <w:t>ed</w:t>
      </w:r>
      <w:r w:rsidRPr="003B5585">
        <w:t xml:space="preserve"> </w:t>
      </w:r>
      <w:r w:rsidR="00B328F5">
        <w:t>several</w:t>
      </w:r>
      <w:r w:rsidRPr="003B5585">
        <w:t xml:space="preserve"> with regard to required response</w:t>
      </w:r>
      <w:r w:rsidR="00B328F5">
        <w:t xml:space="preserve">: </w:t>
      </w:r>
      <w:r w:rsidRPr="003B5585">
        <w:t xml:space="preserve">Public records statutes should contain specific </w:t>
      </w:r>
      <w:r w:rsidR="00A96005">
        <w:t xml:space="preserve">(and separate) </w:t>
      </w:r>
      <w:proofErr w:type="gramStart"/>
      <w:r w:rsidRPr="003B5585">
        <w:t>time frames</w:t>
      </w:r>
      <w:proofErr w:type="gramEnd"/>
      <w:r w:rsidRPr="003B5585">
        <w:t xml:space="preserve"> both for acknowledgement of the request and for production (or denial) of the records.</w:t>
      </w:r>
      <w:r w:rsidR="00A96005">
        <w:rPr>
          <w:rStyle w:val="FootnoteReference"/>
        </w:rPr>
        <w:footnoteReference w:id="80"/>
      </w:r>
      <w:r w:rsidRPr="003B5585">
        <w:t xml:space="preserve"> </w:t>
      </w:r>
      <w:r w:rsidR="00A96005">
        <w:t xml:space="preserve">Further, statutes should not be drafted in ways that permit government agencies’ failure to respond to be construed as a denial. In Pennsylvania, for example, the Right to Know Act </w:t>
      </w:r>
      <w:r w:rsidR="00C82A5E">
        <w:t>c</w:t>
      </w:r>
      <w:r w:rsidR="00A96005">
        <w:t>ontains this provision: “If the agency fails to send the response withing five business days of receipt of the written request for access, the written request for access shall be deemed denied.”</w:t>
      </w:r>
      <w:r w:rsidR="00A96005">
        <w:rPr>
          <w:rStyle w:val="FootnoteReference"/>
        </w:rPr>
        <w:footnoteReference w:id="81"/>
      </w:r>
      <w:r w:rsidR="00A96005">
        <w:t xml:space="preserve"> </w:t>
      </w:r>
      <w:r w:rsidR="00C82A5E">
        <w:t>Vermont has a similar provision.</w:t>
      </w:r>
      <w:r w:rsidR="00C82A5E">
        <w:rPr>
          <w:rStyle w:val="FootnoteReference"/>
        </w:rPr>
        <w:footnoteReference w:id="82"/>
      </w:r>
      <w:r w:rsidR="00C82A5E">
        <w:t xml:space="preserve"> Defaulting the agency response to a denial when the mandated time for production expires</w:t>
      </w:r>
      <w:r w:rsidR="00A96005">
        <w:t xml:space="preserve"> contravenes the purpose of open records statutes by rewarding agencies for </w:t>
      </w:r>
      <w:r w:rsidR="00A96005">
        <w:lastRenderedPageBreak/>
        <w:t xml:space="preserve">complacency. </w:t>
      </w:r>
      <w:r w:rsidRPr="003B5585">
        <w:t xml:space="preserve">Too often, statutes with generalized requirements allow government officials to delay access to a point where requestors may simply abandon their efforts to obtain records. </w:t>
      </w:r>
    </w:p>
    <w:p w14:paraId="1936E594" w14:textId="7E318980" w:rsidR="00B328F5" w:rsidRPr="003B5585" w:rsidRDefault="00B328F5" w:rsidP="003B5585">
      <w:pPr>
        <w:spacing w:line="480" w:lineRule="auto"/>
      </w:pPr>
      <w:r>
        <w:tab/>
        <w:t xml:space="preserve">Given the significant delays in records production that </w:t>
      </w:r>
      <w:proofErr w:type="spellStart"/>
      <w:r>
        <w:t>MuckRock</w:t>
      </w:r>
      <w:proofErr w:type="spellEnd"/>
      <w:r>
        <w:t xml:space="preserve"> and other researchers have documented across states, more must be done to pressure governments to comply with open records provisions. Required acknowledgement of requests empowers citizens to better enforce their rights under freedom of information laws. It prevents government officials from being able to argue they had not received a request, and it clearly starts a clock to help enforce production mandates. Combined with required response times, requiring acknowledgement of records requests offers an effective means for holding public officials accountable.</w:t>
      </w:r>
    </w:p>
    <w:p w14:paraId="3CF01FF1" w14:textId="3BA3927F" w:rsidR="00B53C0D" w:rsidRPr="003B5585" w:rsidRDefault="00B53C0D" w:rsidP="003B5585">
      <w:pPr>
        <w:spacing w:line="480" w:lineRule="auto"/>
        <w:ind w:firstLine="720"/>
      </w:pPr>
      <w:r w:rsidRPr="003B5585">
        <w:t>In addition, public records laws must provide clear remed</w:t>
      </w:r>
      <w:r w:rsidR="0094136F">
        <w:t>ies</w:t>
      </w:r>
      <w:r w:rsidRPr="003B5585">
        <w:t xml:space="preserve"> when governments fail to follow their stated requirements. </w:t>
      </w:r>
      <w:r w:rsidR="00B328F5">
        <w:t xml:space="preserve">Many statutes lack enforcement mechanisms, have no appeals process or include weak penalties. </w:t>
      </w:r>
      <w:r w:rsidRPr="003B5585">
        <w:t>In situations where governments do not acknowledge requests or fail to produce records, requestors are often forced to foot the bill for litigation—assuming the freedom of information statute includes a right to appeal. For many requestors, this is simply not financially feasible unless they find pro bono representation. By placing the initial litigation costs squarely on citizens, governments know they can often insulate themselves (and their actions). Fee-shifting provisions may help deter intentional malfeasance on the part of government, but they still require the plaintiff or plaintiff’s attorneys to make an initial outlay of legal costs.</w:t>
      </w:r>
    </w:p>
    <w:p w14:paraId="1002FC2C" w14:textId="4D61D51C" w:rsidR="00B53C0D" w:rsidRPr="003B5585" w:rsidRDefault="00B53C0D" w:rsidP="003B5585">
      <w:pPr>
        <w:spacing w:line="480" w:lineRule="auto"/>
        <w:ind w:firstLine="720"/>
      </w:pPr>
      <w:r w:rsidRPr="003B5585">
        <w:t>Requiring a judicial remedy, however, may not be the most beneficial for states or requestors. One possible approach would be the independent commission model that exists in Connecticut. “</w:t>
      </w:r>
      <w:r w:rsidRPr="003B5585">
        <w:rPr>
          <w:color w:val="0A0A0A"/>
          <w:shd w:val="clear" w:color="auto" w:fill="FEFEFE"/>
        </w:rPr>
        <w:t xml:space="preserve">The Freedom of Information Commission's mission is to administer and enforce the provisions of the Connecticut Freedom of Information Act, and to thereby ensure citizen </w:t>
      </w:r>
      <w:r w:rsidRPr="003B5585">
        <w:rPr>
          <w:color w:val="0A0A0A"/>
          <w:shd w:val="clear" w:color="auto" w:fill="FEFEFE"/>
        </w:rPr>
        <w:lastRenderedPageBreak/>
        <w:t>access to the records and meetings of public agencies in the State of Connecticut.</w:t>
      </w:r>
      <w:r w:rsidRPr="003B5585">
        <w:t>”</w:t>
      </w:r>
      <w:r w:rsidR="00B67B4A">
        <w:rPr>
          <w:rStyle w:val="FootnoteReference"/>
        </w:rPr>
        <w:footnoteReference w:id="83"/>
      </w:r>
      <w:r w:rsidR="0094136F">
        <w:t xml:space="preserve"> Creating such a commission and empowering the commission to assess fines or seek mandamus on behalf of requestors would help level the playing field. Although many state public records laws purport that records </w:t>
      </w:r>
      <w:proofErr w:type="gramStart"/>
      <w:r w:rsidR="0094136F">
        <w:t>are presumed</w:t>
      </w:r>
      <w:proofErr w:type="gramEnd"/>
      <w:r w:rsidR="0094136F">
        <w:t xml:space="preserve"> open, the reality is that citizens often bear the heavy burden of challenging officials who deny access to records. </w:t>
      </w:r>
    </w:p>
    <w:sectPr w:rsidR="00B53C0D" w:rsidRPr="003B5585" w:rsidSect="00FF0A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4D25E" w14:textId="77777777" w:rsidR="00F34B07" w:rsidRDefault="00F34B07" w:rsidP="003B5585">
      <w:r>
        <w:separator/>
      </w:r>
    </w:p>
  </w:endnote>
  <w:endnote w:type="continuationSeparator" w:id="0">
    <w:p w14:paraId="4A9A9E29" w14:textId="77777777" w:rsidR="00F34B07" w:rsidRDefault="00F34B07" w:rsidP="003B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BD36B" w14:textId="77777777" w:rsidR="00F34B07" w:rsidRDefault="00F34B07" w:rsidP="003B5585">
      <w:r>
        <w:separator/>
      </w:r>
    </w:p>
  </w:footnote>
  <w:footnote w:type="continuationSeparator" w:id="0">
    <w:p w14:paraId="349EA1A6" w14:textId="77777777" w:rsidR="00F34B07" w:rsidRDefault="00F34B07" w:rsidP="003B5585">
      <w:r>
        <w:continuationSeparator/>
      </w:r>
    </w:p>
  </w:footnote>
  <w:footnote w:id="1">
    <w:p w14:paraId="08AA6E5F" w14:textId="77777777" w:rsidR="003B5585" w:rsidRPr="00CC17DA" w:rsidRDefault="003B5585" w:rsidP="00A73618">
      <w:pPr>
        <w:pStyle w:val="FootnoteText"/>
        <w:spacing w:after="120"/>
        <w:rPr>
          <w:sz w:val="21"/>
          <w:szCs w:val="21"/>
        </w:rPr>
      </w:pPr>
      <w:r w:rsidRPr="00CC17DA">
        <w:rPr>
          <w:rStyle w:val="FootnoteReference"/>
          <w:sz w:val="21"/>
          <w:szCs w:val="21"/>
        </w:rPr>
        <w:footnoteRef/>
      </w:r>
      <w:r w:rsidRPr="00CC17DA">
        <w:rPr>
          <w:sz w:val="21"/>
          <w:szCs w:val="21"/>
        </w:rPr>
        <w:t xml:space="preserve"> David Cuillier &amp; Charles N. Davis, </w:t>
      </w:r>
      <w:r w:rsidRPr="00A73618">
        <w:rPr>
          <w:smallCaps/>
          <w:sz w:val="21"/>
          <w:szCs w:val="21"/>
        </w:rPr>
        <w:t>The Art of Access: Strategies for Acquiring Public Records</w:t>
      </w:r>
      <w:r w:rsidRPr="00CC17DA">
        <w:rPr>
          <w:sz w:val="21"/>
          <w:szCs w:val="21"/>
        </w:rPr>
        <w:t xml:space="preserve">, 2nd ed. 110 (2020). </w:t>
      </w:r>
    </w:p>
  </w:footnote>
  <w:footnote w:id="2">
    <w:p w14:paraId="0D58F65D" w14:textId="77777777" w:rsidR="003B5585" w:rsidRPr="00A73618" w:rsidRDefault="003B5585" w:rsidP="00A73618">
      <w:pPr>
        <w:pStyle w:val="FootnoteText"/>
        <w:spacing w:after="120"/>
        <w:rPr>
          <w:sz w:val="21"/>
          <w:szCs w:val="21"/>
        </w:rPr>
      </w:pPr>
      <w:r w:rsidRPr="00CC17DA">
        <w:rPr>
          <w:rStyle w:val="FootnoteReference"/>
          <w:sz w:val="21"/>
          <w:szCs w:val="21"/>
        </w:rPr>
        <w:footnoteRef/>
      </w:r>
      <w:r w:rsidRPr="00CC17DA">
        <w:rPr>
          <w:sz w:val="21"/>
          <w:szCs w:val="21"/>
        </w:rPr>
        <w:t xml:space="preserve"> Jessie Gomez, “</w:t>
      </w:r>
      <w:proofErr w:type="spellStart"/>
      <w:r w:rsidRPr="00CC17DA">
        <w:rPr>
          <w:sz w:val="21"/>
          <w:szCs w:val="21"/>
        </w:rPr>
        <w:t>MuckRock</w:t>
      </w:r>
      <w:proofErr w:type="spellEnd"/>
      <w:r w:rsidRPr="00CC17DA">
        <w:rPr>
          <w:sz w:val="21"/>
          <w:szCs w:val="21"/>
        </w:rPr>
        <w:t xml:space="preserve"> request data shows big difference in backlogs between states,” </w:t>
      </w:r>
      <w:proofErr w:type="spellStart"/>
      <w:r w:rsidRPr="00A73618">
        <w:rPr>
          <w:smallCaps/>
          <w:sz w:val="21"/>
          <w:szCs w:val="21"/>
        </w:rPr>
        <w:t>MuckRock</w:t>
      </w:r>
      <w:proofErr w:type="spellEnd"/>
      <w:r w:rsidRPr="00CC17DA">
        <w:rPr>
          <w:sz w:val="21"/>
          <w:szCs w:val="21"/>
        </w:rPr>
        <w:t>, March 21, 2019, https://www.muckrock.com/news/archives/2019/mar/21/feature-state-data/</w:t>
      </w:r>
    </w:p>
  </w:footnote>
  <w:footnote w:id="3">
    <w:p w14:paraId="28F00053"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Id.</w:t>
      </w:r>
    </w:p>
  </w:footnote>
  <w:footnote w:id="4">
    <w:p w14:paraId="1A494AA2"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David Cuillier, “Bigger stick, better compliance? Testing strength of public record statutes on agency transparency in the United States,” Proceedings of the 6th Global Research on Transparency Conference (2019), p. 11, https://drive.google.com/file/d/1R9PBJrjTreetcD-epJEq-o8ZSWZPKRjv/view.</w:t>
      </w:r>
    </w:p>
  </w:footnote>
  <w:footnote w:id="5">
    <w:p w14:paraId="08C0D5DA"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Reporters Committee for Freedom of the Press, “Press freedom and government transparency curing COVID-19” (2021). https://www.rcfp.org/resources/covid-19/</w:t>
      </w:r>
    </w:p>
  </w:footnote>
  <w:footnote w:id="6">
    <w:p w14:paraId="68D8AF5F" w14:textId="2BF56C08" w:rsidR="003B5585" w:rsidRPr="00A73618" w:rsidRDefault="003B5585"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smallCaps/>
          <w:sz w:val="21"/>
          <w:szCs w:val="21"/>
        </w:rPr>
        <w:t>Ha</w:t>
      </w:r>
      <w:r w:rsidR="00E36938" w:rsidRPr="00A73618">
        <w:rPr>
          <w:smallCaps/>
          <w:sz w:val="21"/>
          <w:szCs w:val="21"/>
        </w:rPr>
        <w:t>w.</w:t>
      </w:r>
      <w:r w:rsidRPr="00A73618">
        <w:rPr>
          <w:smallCaps/>
          <w:sz w:val="21"/>
          <w:szCs w:val="21"/>
        </w:rPr>
        <w:t xml:space="preserve"> Rev. Stat. </w:t>
      </w:r>
      <w:r w:rsidRPr="00A73618">
        <w:rPr>
          <w:color w:val="333333"/>
          <w:sz w:val="21"/>
          <w:szCs w:val="21"/>
          <w:bdr w:val="none" w:sz="0" w:space="0" w:color="auto" w:frame="1"/>
        </w:rPr>
        <w:t>§</w:t>
      </w:r>
      <w:r w:rsidRPr="00A73618">
        <w:rPr>
          <w:sz w:val="21"/>
          <w:szCs w:val="21"/>
        </w:rPr>
        <w:t>92F-2</w:t>
      </w:r>
      <w:r w:rsidR="00E36938" w:rsidRPr="00A73618">
        <w:rPr>
          <w:sz w:val="21"/>
          <w:szCs w:val="21"/>
        </w:rPr>
        <w:t xml:space="preserve"> (2021)</w:t>
      </w:r>
      <w:r w:rsidRPr="00A73618">
        <w:rPr>
          <w:sz w:val="21"/>
          <w:szCs w:val="21"/>
        </w:rPr>
        <w:t>.</w:t>
      </w:r>
    </w:p>
  </w:footnote>
  <w:footnote w:id="7">
    <w:p w14:paraId="5BCCC749"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smallCaps/>
          <w:sz w:val="21"/>
          <w:szCs w:val="21"/>
        </w:rPr>
        <w:t>Texas Gov’t Code</w:t>
      </w:r>
      <w:r w:rsidRPr="00A73618">
        <w:rPr>
          <w:sz w:val="21"/>
          <w:szCs w:val="21"/>
        </w:rPr>
        <w:t xml:space="preserve"> </w:t>
      </w:r>
      <w:r w:rsidRPr="00A73618">
        <w:rPr>
          <w:color w:val="333333"/>
          <w:sz w:val="21"/>
          <w:szCs w:val="21"/>
          <w:bdr w:val="none" w:sz="0" w:space="0" w:color="auto" w:frame="1"/>
        </w:rPr>
        <w:t xml:space="preserve">§552.001(a). The Texas statement of purpose language is almost identical to West Virginia’s Freedom of Information Act. </w:t>
      </w:r>
      <w:r w:rsidRPr="00A73618">
        <w:rPr>
          <w:i/>
          <w:iCs/>
          <w:color w:val="333333"/>
          <w:sz w:val="21"/>
          <w:szCs w:val="21"/>
          <w:bdr w:val="none" w:sz="0" w:space="0" w:color="auto" w:frame="1"/>
        </w:rPr>
        <w:t>See</w:t>
      </w:r>
      <w:r w:rsidRPr="00A73618">
        <w:rPr>
          <w:color w:val="333333"/>
          <w:sz w:val="21"/>
          <w:szCs w:val="21"/>
          <w:bdr w:val="none" w:sz="0" w:space="0" w:color="auto" w:frame="1"/>
        </w:rPr>
        <w:t xml:space="preserve"> </w:t>
      </w:r>
      <w:r w:rsidRPr="00A73618">
        <w:rPr>
          <w:smallCaps/>
          <w:sz w:val="21"/>
          <w:szCs w:val="21"/>
          <w:bdr w:val="none" w:sz="0" w:space="0" w:color="auto" w:frame="1"/>
        </w:rPr>
        <w:t>W.Va. Code</w:t>
      </w:r>
      <w:r w:rsidRPr="00A73618">
        <w:rPr>
          <w:color w:val="333333"/>
          <w:sz w:val="21"/>
          <w:szCs w:val="21"/>
          <w:bdr w:val="none" w:sz="0" w:space="0" w:color="auto" w:frame="1"/>
        </w:rPr>
        <w:t xml:space="preserve"> §29B-1-1.</w:t>
      </w:r>
    </w:p>
  </w:footnote>
  <w:footnote w:id="8">
    <w:p w14:paraId="5A060FBD" w14:textId="5B878959"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smallCaps/>
          <w:sz w:val="21"/>
          <w:szCs w:val="21"/>
        </w:rPr>
        <w:t>Iowa Code</w:t>
      </w:r>
      <w:r w:rsidRPr="00A73618">
        <w:rPr>
          <w:sz w:val="21"/>
          <w:szCs w:val="21"/>
        </w:rPr>
        <w:t xml:space="preserve"> </w:t>
      </w:r>
      <w:r w:rsidRPr="00A73618">
        <w:rPr>
          <w:color w:val="333333"/>
          <w:sz w:val="21"/>
          <w:szCs w:val="21"/>
          <w:bdr w:val="none" w:sz="0" w:space="0" w:color="auto" w:frame="1"/>
        </w:rPr>
        <w:t>§22.2(1)</w:t>
      </w:r>
      <w:r w:rsidR="00E36938" w:rsidRPr="00A73618">
        <w:rPr>
          <w:color w:val="333333"/>
          <w:sz w:val="21"/>
          <w:szCs w:val="21"/>
          <w:bdr w:val="none" w:sz="0" w:space="0" w:color="auto" w:frame="1"/>
        </w:rPr>
        <w:t xml:space="preserve"> (2021). </w:t>
      </w:r>
    </w:p>
  </w:footnote>
  <w:footnote w:id="9">
    <w:p w14:paraId="3596A5CB" w14:textId="2FE5A04D"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O.R.S. 192.314(1)</w:t>
      </w:r>
      <w:r w:rsidR="00E36938" w:rsidRPr="00A73618">
        <w:rPr>
          <w:sz w:val="21"/>
          <w:szCs w:val="21"/>
        </w:rPr>
        <w:t xml:space="preserve"> (2021).</w:t>
      </w:r>
    </w:p>
  </w:footnote>
  <w:footnote w:id="10">
    <w:p w14:paraId="6F63384E"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Gomez, </w:t>
      </w:r>
      <w:r w:rsidRPr="00A73618">
        <w:rPr>
          <w:i/>
          <w:iCs/>
          <w:sz w:val="21"/>
          <w:szCs w:val="21"/>
        </w:rPr>
        <w:t>supra</w:t>
      </w:r>
      <w:r w:rsidRPr="00A73618">
        <w:rPr>
          <w:sz w:val="21"/>
          <w:szCs w:val="21"/>
        </w:rPr>
        <w:t xml:space="preserve"> note 2.</w:t>
      </w:r>
    </w:p>
  </w:footnote>
  <w:footnote w:id="11">
    <w:p w14:paraId="4C740730"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David A. Lieb, “Governments delay access to public records during pandemic,” </w:t>
      </w:r>
      <w:r w:rsidRPr="00A73618">
        <w:rPr>
          <w:smallCaps/>
          <w:sz w:val="21"/>
          <w:szCs w:val="21"/>
        </w:rPr>
        <w:t>West Hawaii Today</w:t>
      </w:r>
      <w:r w:rsidRPr="00A73618">
        <w:rPr>
          <w:sz w:val="21"/>
          <w:szCs w:val="21"/>
        </w:rPr>
        <w:t>, March 14, 2021, https://www.westhawaiitoday.com/2021/03/14/hawaii-news/governments-delay-access-to-public-records-during-pandemic/</w:t>
      </w:r>
    </w:p>
  </w:footnote>
  <w:footnote w:id="12">
    <w:p w14:paraId="1A44AA36"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“No, Your FOIA Request Cannot Wait ‘Until This Emergency Is Over,’’ </w:t>
      </w:r>
      <w:r w:rsidRPr="00A73618">
        <w:rPr>
          <w:smallCaps/>
          <w:sz w:val="21"/>
          <w:szCs w:val="21"/>
        </w:rPr>
        <w:t>N.Y. Times</w:t>
      </w:r>
      <w:r w:rsidRPr="00A73618">
        <w:rPr>
          <w:sz w:val="21"/>
          <w:szCs w:val="21"/>
        </w:rPr>
        <w:t>, May 12, 2020, https://www.nytimes.com/2020/05/12/opinion/coronavirus-freedom-of-information.html</w:t>
      </w:r>
    </w:p>
  </w:footnote>
  <w:footnote w:id="13">
    <w:p w14:paraId="57429110"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David E. Pozen &amp; Michael </w:t>
      </w:r>
      <w:proofErr w:type="spellStart"/>
      <w:r w:rsidRPr="00A73618">
        <w:rPr>
          <w:sz w:val="21"/>
          <w:szCs w:val="21"/>
        </w:rPr>
        <w:t>Schudson</w:t>
      </w:r>
      <w:proofErr w:type="spellEnd"/>
      <w:r w:rsidRPr="00A73618">
        <w:rPr>
          <w:sz w:val="21"/>
          <w:szCs w:val="21"/>
        </w:rPr>
        <w:t xml:space="preserve">, “Introduction,” in David E. Pozen &amp; Michael </w:t>
      </w:r>
      <w:proofErr w:type="spellStart"/>
      <w:r w:rsidRPr="00A73618">
        <w:rPr>
          <w:sz w:val="21"/>
          <w:szCs w:val="21"/>
        </w:rPr>
        <w:t>Schudson</w:t>
      </w:r>
      <w:proofErr w:type="spellEnd"/>
      <w:r w:rsidRPr="00A73618">
        <w:rPr>
          <w:sz w:val="21"/>
          <w:szCs w:val="21"/>
        </w:rPr>
        <w:t xml:space="preserve"> (</w:t>
      </w:r>
      <w:proofErr w:type="spellStart"/>
      <w:r w:rsidRPr="00A73618">
        <w:rPr>
          <w:sz w:val="21"/>
          <w:szCs w:val="21"/>
        </w:rPr>
        <w:t>eds</w:t>
      </w:r>
      <w:proofErr w:type="spellEnd"/>
      <w:r w:rsidRPr="00A73618">
        <w:rPr>
          <w:sz w:val="21"/>
          <w:szCs w:val="21"/>
        </w:rPr>
        <w:t xml:space="preserve">), </w:t>
      </w:r>
      <w:r w:rsidRPr="00A73618">
        <w:rPr>
          <w:smallCaps/>
          <w:sz w:val="21"/>
          <w:szCs w:val="21"/>
        </w:rPr>
        <w:t>Troubling Transparency: The History and Future of Freedom of Information</w:t>
      </w:r>
      <w:r w:rsidRPr="00A73618">
        <w:rPr>
          <w:sz w:val="21"/>
          <w:szCs w:val="21"/>
        </w:rPr>
        <w:t xml:space="preserve"> 4 (2018).</w:t>
      </w:r>
    </w:p>
  </w:footnote>
  <w:footnote w:id="14">
    <w:p w14:paraId="2FC3FC8A"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Jonathan Peters, “Reimagining Access Rights,” 65 </w:t>
      </w:r>
      <w:r w:rsidRPr="00A73618">
        <w:rPr>
          <w:smallCaps/>
          <w:sz w:val="21"/>
          <w:szCs w:val="21"/>
        </w:rPr>
        <w:t xml:space="preserve">Wash. U. J. Law &amp; </w:t>
      </w:r>
      <w:proofErr w:type="spellStart"/>
      <w:r w:rsidRPr="00A73618">
        <w:rPr>
          <w:smallCaps/>
          <w:sz w:val="21"/>
          <w:szCs w:val="21"/>
        </w:rPr>
        <w:t>Pol’y</w:t>
      </w:r>
      <w:proofErr w:type="spellEnd"/>
      <w:r w:rsidRPr="00A73618">
        <w:rPr>
          <w:sz w:val="21"/>
          <w:szCs w:val="21"/>
        </w:rPr>
        <w:t xml:space="preserve"> 135, 148 (2020).</w:t>
      </w:r>
    </w:p>
  </w:footnote>
  <w:footnote w:id="15">
    <w:p w14:paraId="0CBBF8ED"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Id. at 139-40.</w:t>
      </w:r>
    </w:p>
  </w:footnote>
  <w:footnote w:id="16">
    <w:p w14:paraId="224957D1"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smallCaps/>
          <w:sz w:val="21"/>
          <w:szCs w:val="21"/>
        </w:rPr>
        <w:t>S. Rep.</w:t>
      </w:r>
      <w:r w:rsidRPr="00A73618">
        <w:rPr>
          <w:sz w:val="21"/>
          <w:szCs w:val="21"/>
        </w:rPr>
        <w:t xml:space="preserve"> 93-854, 155 (1974) (emphasis added).</w:t>
      </w:r>
    </w:p>
  </w:footnote>
  <w:footnote w:id="17">
    <w:p w14:paraId="72BABDD8"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smallCaps/>
          <w:sz w:val="21"/>
          <w:szCs w:val="21"/>
        </w:rPr>
        <w:t xml:space="preserve">U.S. House of Representatives Committee on Oversight and Government Reform, FOIA is Broken: A Report 34 </w:t>
      </w:r>
      <w:r w:rsidRPr="00A73618">
        <w:rPr>
          <w:sz w:val="21"/>
          <w:szCs w:val="21"/>
        </w:rPr>
        <w:t>(2016)</w:t>
      </w:r>
    </w:p>
  </w:footnote>
  <w:footnote w:id="18">
    <w:p w14:paraId="01120E45"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5 U.S.C. § 552(a)(6)</w:t>
      </w:r>
    </w:p>
  </w:footnote>
  <w:footnote w:id="19">
    <w:p w14:paraId="5797432B" w14:textId="77777777" w:rsidR="002625B5" w:rsidRPr="00A73618" w:rsidRDefault="002625B5" w:rsidP="00A73618">
      <w:pPr>
        <w:pStyle w:val="FootnoteText"/>
        <w:spacing w:after="120"/>
        <w:rPr>
          <w:sz w:val="21"/>
          <w:szCs w:val="21"/>
        </w:rPr>
      </w:pPr>
      <w:r w:rsidRPr="00A73618">
        <w:rPr>
          <w:rStyle w:val="FootnoteReference"/>
          <w:sz w:val="21"/>
          <w:szCs w:val="21"/>
        </w:rPr>
        <w:footnoteRef/>
      </w:r>
      <w:r w:rsidRPr="00A73618">
        <w:rPr>
          <w:sz w:val="21"/>
          <w:szCs w:val="21"/>
        </w:rPr>
        <w:t xml:space="preserve"> Ben Wasike, “FOI in transition: A comparative analysis of the Freedom of Information Act performance between the Obama and Trump administrations,” 37 Gov’t Info. Q. 101443, p. 5-6 (2019). A previous study by Wasike found mixed results between the Bush and Obama administrations in data collected from 2001 to 2013; in the sample studied under Bush, simple requests taking 28.1 days and complex requests taking 97.6 days, while under Obama, simple request processing time increased to 141.9 days while complex request processing time declined to 62.3 days. See Ben Wasike, “FOIA in the age of ‘Open.Gov”: An analysis of the performance of the Freedom of Information Act under the Obama and Bush Administrations, 33 </w:t>
      </w:r>
      <w:r w:rsidRPr="00A73618">
        <w:rPr>
          <w:smallCaps/>
          <w:sz w:val="21"/>
          <w:szCs w:val="21"/>
        </w:rPr>
        <w:t>Gov’t Info. Q.</w:t>
      </w:r>
      <w:r w:rsidRPr="00A73618">
        <w:rPr>
          <w:sz w:val="21"/>
          <w:szCs w:val="21"/>
        </w:rPr>
        <w:t xml:space="preserve"> 417, 423 (2017).</w:t>
      </w:r>
    </w:p>
  </w:footnote>
  <w:footnote w:id="20">
    <w:p w14:paraId="2CBA17DA"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“Fewer Watchdogs, Uncooperative Public Officials are Biggest Challenge to Open Government Today, According to Open Government Survey,” National Freedom of Information Coalition (March 13, 2020), https://perma.cc/KA4N-SNEZ</w:t>
      </w:r>
    </w:p>
  </w:footnote>
  <w:footnote w:id="21">
    <w:p w14:paraId="54B3419D" w14:textId="77777777" w:rsidR="002625B5" w:rsidRPr="00A73618" w:rsidRDefault="002625B5" w:rsidP="00A73618">
      <w:pPr>
        <w:pStyle w:val="FootnoteText"/>
        <w:spacing w:after="120"/>
        <w:rPr>
          <w:sz w:val="21"/>
          <w:szCs w:val="21"/>
        </w:rPr>
      </w:pPr>
      <w:r w:rsidRPr="00A73618">
        <w:rPr>
          <w:rStyle w:val="FootnoteReference"/>
          <w:sz w:val="21"/>
          <w:szCs w:val="21"/>
        </w:rPr>
        <w:footnoteRef/>
      </w:r>
      <w:r w:rsidRPr="00A73618">
        <w:rPr>
          <w:sz w:val="21"/>
          <w:szCs w:val="21"/>
        </w:rPr>
        <w:t xml:space="preserve"> Katherine Fink, Freedom of Information in Community Journalism, 7 </w:t>
      </w:r>
      <w:r w:rsidRPr="00A73618">
        <w:rPr>
          <w:smallCaps/>
          <w:sz w:val="21"/>
          <w:szCs w:val="21"/>
        </w:rPr>
        <w:t>Community Journalism</w:t>
      </w:r>
      <w:r w:rsidRPr="00A73618">
        <w:rPr>
          <w:sz w:val="21"/>
          <w:szCs w:val="21"/>
        </w:rPr>
        <w:t xml:space="preserve"> 17, 23 (2019).</w:t>
      </w:r>
    </w:p>
  </w:footnote>
  <w:footnote w:id="22">
    <w:p w14:paraId="7BE90A4F" w14:textId="31268580" w:rsidR="002625B5" w:rsidRPr="00A73618" w:rsidRDefault="002625B5" w:rsidP="00A73618">
      <w:pPr>
        <w:pStyle w:val="FootnoteText"/>
        <w:spacing w:after="120"/>
        <w:rPr>
          <w:sz w:val="21"/>
          <w:szCs w:val="21"/>
        </w:rPr>
      </w:pPr>
      <w:r w:rsidRPr="00A73618">
        <w:rPr>
          <w:rStyle w:val="FootnoteReference"/>
          <w:sz w:val="21"/>
          <w:szCs w:val="21"/>
        </w:rPr>
        <w:footnoteRef/>
      </w:r>
      <w:r w:rsidRPr="00A73618">
        <w:rPr>
          <w:sz w:val="21"/>
          <w:szCs w:val="21"/>
        </w:rPr>
        <w:t xml:space="preserve"> Margaret Kwoka, </w:t>
      </w:r>
      <w:r w:rsidRPr="00A73618">
        <w:rPr>
          <w:smallCaps/>
          <w:sz w:val="21"/>
          <w:szCs w:val="21"/>
        </w:rPr>
        <w:t>Saving the Freedom of Information Act</w:t>
      </w:r>
      <w:r w:rsidRPr="00A73618">
        <w:rPr>
          <w:sz w:val="21"/>
          <w:szCs w:val="21"/>
        </w:rPr>
        <w:t xml:space="preserve"> 175 (2021).</w:t>
      </w:r>
    </w:p>
  </w:footnote>
  <w:footnote w:id="23">
    <w:p w14:paraId="7A31D52B"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See</w:t>
      </w:r>
      <w:r w:rsidRPr="00A73618">
        <w:rPr>
          <w:sz w:val="21"/>
          <w:szCs w:val="21"/>
        </w:rPr>
        <w:t xml:space="preserve"> Daxton “Chip” Stewart &amp; Amy Kristin Sanders, “Secrecy, Inc.: How Governments Use Trade Secrets, Purported Competitive Harm and Third-Party Interventions to Privatize Public Records,” 1 </w:t>
      </w:r>
      <w:r w:rsidRPr="00A73618">
        <w:rPr>
          <w:smallCaps/>
          <w:sz w:val="21"/>
          <w:szCs w:val="21"/>
        </w:rPr>
        <w:t>J. Civic Info.</w:t>
      </w:r>
      <w:r w:rsidRPr="00A73618">
        <w:rPr>
          <w:sz w:val="21"/>
          <w:szCs w:val="21"/>
        </w:rPr>
        <w:t xml:space="preserve"> 1, 28 (2019).</w:t>
      </w:r>
    </w:p>
  </w:footnote>
  <w:footnote w:id="24">
    <w:p w14:paraId="64CBC931"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A. Jay Wagner, “Piercing the veil: Examining demographic and political variables in state FOI law administration,” 38 </w:t>
      </w:r>
      <w:r w:rsidRPr="00A73618">
        <w:rPr>
          <w:smallCaps/>
          <w:sz w:val="21"/>
          <w:szCs w:val="21"/>
        </w:rPr>
        <w:t>Gov’t Info. Quarterly</w:t>
      </w:r>
      <w:r w:rsidRPr="00A73618">
        <w:rPr>
          <w:sz w:val="21"/>
          <w:szCs w:val="21"/>
        </w:rPr>
        <w:t xml:space="preserve"> 1, 6-8 (2021).</w:t>
      </w:r>
    </w:p>
  </w:footnote>
  <w:footnote w:id="25">
    <w:p w14:paraId="78F25B0D"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Cuillier, </w:t>
      </w:r>
      <w:r w:rsidRPr="00A73618">
        <w:rPr>
          <w:i/>
          <w:iCs/>
          <w:sz w:val="21"/>
          <w:szCs w:val="21"/>
        </w:rPr>
        <w:t>supra</w:t>
      </w:r>
      <w:r w:rsidRPr="00A73618">
        <w:rPr>
          <w:sz w:val="21"/>
          <w:szCs w:val="21"/>
        </w:rPr>
        <w:t xml:space="preserve"> note 4.</w:t>
      </w:r>
    </w:p>
  </w:footnote>
  <w:footnote w:id="26">
    <w:p w14:paraId="049C0467"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 xml:space="preserve">Id. </w:t>
      </w:r>
      <w:r w:rsidRPr="00A73618">
        <w:rPr>
          <w:sz w:val="21"/>
          <w:szCs w:val="21"/>
        </w:rPr>
        <w:t>at 11.</w:t>
      </w:r>
    </w:p>
  </w:footnote>
  <w:footnote w:id="27">
    <w:p w14:paraId="70618E80"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Id.</w:t>
      </w:r>
      <w:r w:rsidRPr="00A73618">
        <w:rPr>
          <w:sz w:val="21"/>
          <w:szCs w:val="21"/>
        </w:rPr>
        <w:t xml:space="preserve"> </w:t>
      </w:r>
    </w:p>
  </w:footnote>
  <w:footnote w:id="28">
    <w:p w14:paraId="69A4AF58" w14:textId="77777777"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See</w:t>
      </w:r>
      <w:r w:rsidRPr="00A73618">
        <w:rPr>
          <w:sz w:val="21"/>
          <w:szCs w:val="21"/>
        </w:rPr>
        <w:t xml:space="preserve"> Daxton R. “Chip” Stewart, “Let the Sunshine In, or Else: An Examination of the ‘Teeth’ of State and Federal Open Meetings and Open Records Laws,” 15 </w:t>
      </w:r>
      <w:r w:rsidRPr="00A73618">
        <w:rPr>
          <w:smallCaps/>
          <w:sz w:val="21"/>
          <w:szCs w:val="21"/>
        </w:rPr>
        <w:t xml:space="preserve">Comm. L. &amp; </w:t>
      </w:r>
      <w:proofErr w:type="spellStart"/>
      <w:r w:rsidRPr="00A73618">
        <w:rPr>
          <w:smallCaps/>
          <w:sz w:val="21"/>
          <w:szCs w:val="21"/>
        </w:rPr>
        <w:t>Pol’y</w:t>
      </w:r>
      <w:proofErr w:type="spellEnd"/>
      <w:r w:rsidRPr="00A73618">
        <w:rPr>
          <w:sz w:val="21"/>
          <w:szCs w:val="21"/>
        </w:rPr>
        <w:t xml:space="preserve"> 265 (2010).</w:t>
      </w:r>
    </w:p>
  </w:footnote>
  <w:footnote w:id="29">
    <w:p w14:paraId="6DE7C411" w14:textId="7E30D1E2"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smallCaps/>
          <w:sz w:val="21"/>
          <w:szCs w:val="21"/>
        </w:rPr>
        <w:t>Fla. Stat. Ann.</w:t>
      </w:r>
      <w:r w:rsidRPr="00A73618">
        <w:rPr>
          <w:sz w:val="21"/>
          <w:szCs w:val="21"/>
        </w:rPr>
        <w:t xml:space="preserve"> § 119.12</w:t>
      </w:r>
      <w:r w:rsidR="00E36938" w:rsidRPr="00A73618">
        <w:rPr>
          <w:sz w:val="21"/>
          <w:szCs w:val="21"/>
        </w:rPr>
        <w:t xml:space="preserve"> (2021).</w:t>
      </w:r>
    </w:p>
  </w:footnote>
  <w:footnote w:id="30">
    <w:p w14:paraId="6F59BF1A" w14:textId="16D27BFD"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5 </w:t>
      </w:r>
      <w:r w:rsidRPr="00A73618">
        <w:rPr>
          <w:smallCaps/>
          <w:sz w:val="21"/>
          <w:szCs w:val="21"/>
        </w:rPr>
        <w:t>Ill. Comp. Stat.</w:t>
      </w:r>
      <w:r w:rsidRPr="00A73618">
        <w:rPr>
          <w:sz w:val="21"/>
          <w:szCs w:val="21"/>
        </w:rPr>
        <w:t xml:space="preserve"> 140/11(i)</w:t>
      </w:r>
      <w:r w:rsidR="00E36938" w:rsidRPr="00A73618">
        <w:rPr>
          <w:sz w:val="21"/>
          <w:szCs w:val="21"/>
        </w:rPr>
        <w:t xml:space="preserve"> (2021).</w:t>
      </w:r>
    </w:p>
  </w:footnote>
  <w:footnote w:id="31">
    <w:p w14:paraId="4B7A530D" w14:textId="7B56E346" w:rsidR="007F272B" w:rsidRPr="00A73618" w:rsidRDefault="007F272B" w:rsidP="00A73618">
      <w:pPr>
        <w:pStyle w:val="FootnoteText"/>
        <w:spacing w:after="120"/>
        <w:rPr>
          <w:sz w:val="21"/>
          <w:szCs w:val="21"/>
        </w:rPr>
      </w:pPr>
      <w:r w:rsidRPr="00A73618">
        <w:rPr>
          <w:rStyle w:val="FootnoteReference"/>
          <w:sz w:val="21"/>
          <w:szCs w:val="21"/>
        </w:rPr>
        <w:footnoteRef/>
      </w:r>
      <w:r w:rsidRPr="00A73618">
        <w:rPr>
          <w:sz w:val="21"/>
          <w:szCs w:val="21"/>
        </w:rPr>
        <w:t xml:space="preserve"> Jessica </w:t>
      </w:r>
      <w:proofErr w:type="spellStart"/>
      <w:r w:rsidRPr="00A73618">
        <w:rPr>
          <w:sz w:val="21"/>
          <w:szCs w:val="21"/>
        </w:rPr>
        <w:t>Terkovich</w:t>
      </w:r>
      <w:proofErr w:type="spellEnd"/>
      <w:r w:rsidRPr="00A73618">
        <w:rPr>
          <w:sz w:val="21"/>
          <w:szCs w:val="21"/>
        </w:rPr>
        <w:t xml:space="preserve"> &amp; </w:t>
      </w:r>
      <w:proofErr w:type="spellStart"/>
      <w:r w:rsidRPr="00A73618">
        <w:rPr>
          <w:sz w:val="21"/>
          <w:szCs w:val="21"/>
        </w:rPr>
        <w:t>Aryeh</w:t>
      </w:r>
      <w:proofErr w:type="spellEnd"/>
      <w:r w:rsidRPr="00A73618">
        <w:rPr>
          <w:sz w:val="21"/>
          <w:szCs w:val="21"/>
        </w:rPr>
        <w:t xml:space="preserve"> Frank, </w:t>
      </w:r>
      <w:r w:rsidRPr="00A73618">
        <w:rPr>
          <w:i/>
          <w:iCs/>
          <w:sz w:val="21"/>
          <w:szCs w:val="21"/>
        </w:rPr>
        <w:t xml:space="preserve">Constitutionalizing Access, </w:t>
      </w:r>
      <w:r w:rsidRPr="00A73618">
        <w:rPr>
          <w:sz w:val="21"/>
          <w:szCs w:val="21"/>
        </w:rPr>
        <w:t xml:space="preserve">3 J. of Civic Info. 1 (2021). </w:t>
      </w:r>
    </w:p>
  </w:footnote>
  <w:footnote w:id="32">
    <w:p w14:paraId="65D37F72" w14:textId="5085A4E0" w:rsidR="007F272B" w:rsidRPr="00A73618" w:rsidRDefault="007F272B"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 xml:space="preserve">See </w:t>
      </w:r>
      <w:r w:rsidRPr="00A73618">
        <w:rPr>
          <w:smallCaps/>
          <w:sz w:val="21"/>
          <w:szCs w:val="21"/>
          <w:bdr w:val="single" w:sz="2" w:space="0" w:color="959CB6" w:frame="1"/>
          <w:shd w:val="clear" w:color="auto" w:fill="FAFAFA"/>
        </w:rPr>
        <w:t>Fla. Stat</w:t>
      </w:r>
      <w:r w:rsidRPr="00A73618">
        <w:rPr>
          <w:sz w:val="21"/>
          <w:szCs w:val="21"/>
          <w:shd w:val="clear" w:color="auto" w:fill="FAFAFA"/>
        </w:rPr>
        <w:t>. § 119.07(1)(c) (</w:t>
      </w:r>
      <w:r w:rsidRPr="00A73618">
        <w:rPr>
          <w:color w:val="242B9B"/>
          <w:sz w:val="21"/>
          <w:szCs w:val="21"/>
          <w:bdr w:val="single" w:sz="2" w:space="0" w:color="959CB6" w:frame="1"/>
          <w:shd w:val="clear" w:color="auto" w:fill="FAFAFA"/>
        </w:rPr>
        <w:t>2021</w:t>
      </w:r>
      <w:r w:rsidRPr="00A73618">
        <w:rPr>
          <w:sz w:val="21"/>
          <w:szCs w:val="21"/>
          <w:shd w:val="clear" w:color="auto" w:fill="FAFAFA"/>
        </w:rPr>
        <w:t>). “</w:t>
      </w:r>
      <w:r w:rsidRPr="00A73618">
        <w:rPr>
          <w:color w:val="000080"/>
          <w:sz w:val="21"/>
          <w:szCs w:val="21"/>
          <w:shd w:val="clear" w:color="auto" w:fill="FFFFFF"/>
        </w:rPr>
        <w:t>A custodian of public records and his or her designee must acknowledge requests to inspect or copy records promptly and respond to such requests in good faith.</w:t>
      </w:r>
      <w:r w:rsidRPr="00A73618">
        <w:rPr>
          <w:sz w:val="21"/>
          <w:szCs w:val="21"/>
        </w:rPr>
        <w:t>” Maine’s Freedom of Access Act is similar: “</w:t>
      </w:r>
      <w:r w:rsidRPr="00A73618">
        <w:rPr>
          <w:color w:val="000000"/>
          <w:spacing w:val="-8"/>
          <w:sz w:val="21"/>
          <w:szCs w:val="21"/>
          <w:shd w:val="clear" w:color="auto" w:fill="E7F4FF"/>
        </w:rPr>
        <w:t>The agency or official having custody or control of a public record shall acknowledge receipt of a request made according to this section within 5 working days of receiving the request and may request clarification concerning which public record or public records are being requested.</w:t>
      </w:r>
      <w:r w:rsidRPr="00A73618">
        <w:rPr>
          <w:sz w:val="21"/>
          <w:szCs w:val="21"/>
        </w:rPr>
        <w:t xml:space="preserve">” </w:t>
      </w:r>
      <w:r w:rsidRPr="00A73618">
        <w:rPr>
          <w:smallCaps/>
          <w:sz w:val="21"/>
          <w:szCs w:val="21"/>
          <w:bdr w:val="single" w:sz="2" w:space="0" w:color="959CB6" w:frame="1"/>
          <w:shd w:val="clear" w:color="auto" w:fill="FAFAFA"/>
        </w:rPr>
        <w:t>Me. Code R.</w:t>
      </w:r>
      <w:r w:rsidRPr="00A73618">
        <w:rPr>
          <w:sz w:val="21"/>
          <w:szCs w:val="21"/>
          <w:shd w:val="clear" w:color="auto" w:fill="FAFAFA"/>
        </w:rPr>
        <w:t> § 408-3(a) (2021).</w:t>
      </w:r>
      <w:r w:rsidRPr="00A73618">
        <w:rPr>
          <w:sz w:val="21"/>
          <w:szCs w:val="21"/>
        </w:rPr>
        <w:t xml:space="preserve"> New York’s Freedom of Information Law contains a provision that requires either acknowledgement or production: “</w:t>
      </w:r>
      <w:r w:rsidRPr="00A73618">
        <w:rPr>
          <w:color w:val="000000"/>
          <w:sz w:val="21"/>
          <w:szCs w:val="21"/>
        </w:rPr>
        <w:t xml:space="preserve">Each entity subject to the provisions of this article, within five business days of the receipt of a written request for a record reasonably described, shall make such record available to the person requesting it, deny such request in writing or furnish a written acknowledgment of the receipt of such request and a statement of the approximate date, which shall be reasonable under the circumstances of the request, when such request will be granted or denied, including, where appropriate, a statement that access to the record will be determined in accordance with subdivision five of this section.” </w:t>
      </w:r>
      <w:r w:rsidRPr="00A73618">
        <w:rPr>
          <w:smallCaps/>
          <w:sz w:val="21"/>
          <w:szCs w:val="21"/>
          <w:bdr w:val="single" w:sz="2" w:space="0" w:color="959CB6" w:frame="1"/>
          <w:shd w:val="clear" w:color="auto" w:fill="FAFAFA"/>
        </w:rPr>
        <w:t>N.Y. Pub. Off. Law </w:t>
      </w:r>
      <w:r w:rsidRPr="00A73618">
        <w:rPr>
          <w:sz w:val="21"/>
          <w:szCs w:val="21"/>
          <w:shd w:val="clear" w:color="auto" w:fill="FAFAFA"/>
        </w:rPr>
        <w:t>§ 89(3)(a)</w:t>
      </w:r>
      <w:r w:rsidRPr="00A73618">
        <w:rPr>
          <w:sz w:val="21"/>
          <w:szCs w:val="21"/>
        </w:rPr>
        <w:br/>
      </w:r>
      <w:r w:rsidRPr="00A73618">
        <w:rPr>
          <w:sz w:val="21"/>
          <w:szCs w:val="21"/>
          <w:shd w:val="clear" w:color="auto" w:fill="FAFAFA"/>
        </w:rPr>
        <w:t xml:space="preserve">(2021). </w:t>
      </w:r>
      <w:proofErr w:type="gramStart"/>
      <w:r w:rsidRPr="00A73618">
        <w:rPr>
          <w:sz w:val="21"/>
          <w:szCs w:val="21"/>
        </w:rPr>
        <w:t>Oregon’s law is similar: “</w:t>
      </w:r>
      <w:r w:rsidRPr="00A73618">
        <w:rPr>
          <w:color w:val="000000"/>
          <w:sz w:val="21"/>
          <w:szCs w:val="21"/>
        </w:rPr>
        <w:t> If an individual who is identified in a public body’s procedure described in subsection (7)(a) of this section receives a written request to inspect or receive a copy of a public record, the public body shall within five business days after receiving the request acknowledge receipt of the request or complete the public body’s response to the request.”</w:t>
      </w:r>
      <w:proofErr w:type="gramEnd"/>
      <w:r w:rsidRPr="00A73618">
        <w:rPr>
          <w:sz w:val="21"/>
          <w:szCs w:val="21"/>
        </w:rPr>
        <w:t xml:space="preserve"> </w:t>
      </w:r>
      <w:r w:rsidRPr="00A73618">
        <w:rPr>
          <w:i/>
          <w:iCs/>
          <w:sz w:val="21"/>
          <w:szCs w:val="21"/>
        </w:rPr>
        <w:t xml:space="preserve">See </w:t>
      </w:r>
      <w:r w:rsidRPr="00A73618">
        <w:rPr>
          <w:smallCaps/>
          <w:sz w:val="21"/>
          <w:szCs w:val="21"/>
          <w:bdr w:val="single" w:sz="2" w:space="0" w:color="959CB6" w:frame="1"/>
          <w:shd w:val="clear" w:color="auto" w:fill="FAFAFA"/>
        </w:rPr>
        <w:t>Or. Rev. Stat</w:t>
      </w:r>
      <w:r w:rsidRPr="00A73618">
        <w:rPr>
          <w:sz w:val="21"/>
          <w:szCs w:val="21"/>
          <w:shd w:val="clear" w:color="auto" w:fill="FAFAFA"/>
        </w:rPr>
        <w:t>. § 192.324(a)(2) (</w:t>
      </w:r>
      <w:r w:rsidRPr="00A73618">
        <w:rPr>
          <w:color w:val="242B9B"/>
          <w:sz w:val="21"/>
          <w:szCs w:val="21"/>
          <w:bdr w:val="single" w:sz="2" w:space="0" w:color="959CB6" w:frame="1"/>
          <w:shd w:val="clear" w:color="auto" w:fill="FAFAFA"/>
        </w:rPr>
        <w:t>2021</w:t>
      </w:r>
      <w:r w:rsidRPr="00A73618">
        <w:rPr>
          <w:sz w:val="21"/>
          <w:szCs w:val="21"/>
          <w:shd w:val="clear" w:color="auto" w:fill="FAFAFA"/>
        </w:rPr>
        <w:t>)</w:t>
      </w:r>
      <w:r w:rsidRPr="00A73618">
        <w:rPr>
          <w:sz w:val="21"/>
          <w:szCs w:val="21"/>
        </w:rPr>
        <w:t>.</w:t>
      </w:r>
    </w:p>
  </w:footnote>
  <w:footnote w:id="33">
    <w:p w14:paraId="4EC6AF6F" w14:textId="48DC2E36" w:rsidR="003B5585" w:rsidRPr="00A73618" w:rsidRDefault="003B558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007F272B" w:rsidRPr="00A73618">
        <w:rPr>
          <w:smallCaps/>
          <w:sz w:val="21"/>
          <w:szCs w:val="21"/>
          <w:bdr w:val="single" w:sz="2" w:space="0" w:color="959CB6" w:frame="1"/>
          <w:shd w:val="clear" w:color="auto" w:fill="FAFAFA"/>
        </w:rPr>
        <w:t>Fla. Stat</w:t>
      </w:r>
      <w:r w:rsidR="007F272B" w:rsidRPr="00A73618">
        <w:rPr>
          <w:sz w:val="21"/>
          <w:szCs w:val="21"/>
          <w:shd w:val="clear" w:color="auto" w:fill="FAFAFA"/>
        </w:rPr>
        <w:t>. § 119.07 (</w:t>
      </w:r>
      <w:r w:rsidR="007F272B" w:rsidRPr="00A73618">
        <w:rPr>
          <w:color w:val="242B9B"/>
          <w:sz w:val="21"/>
          <w:szCs w:val="21"/>
          <w:bdr w:val="single" w:sz="2" w:space="0" w:color="959CB6" w:frame="1"/>
          <w:shd w:val="clear" w:color="auto" w:fill="FAFAFA"/>
        </w:rPr>
        <w:t>2021</w:t>
      </w:r>
      <w:r w:rsidR="007F272B" w:rsidRPr="00A73618">
        <w:rPr>
          <w:sz w:val="21"/>
          <w:szCs w:val="21"/>
          <w:shd w:val="clear" w:color="auto" w:fill="FAFAFA"/>
        </w:rPr>
        <w:t>).</w:t>
      </w:r>
    </w:p>
  </w:footnote>
  <w:footnote w:id="34">
    <w:p w14:paraId="562C20FB" w14:textId="41E5ACC7" w:rsidR="00B328F5" w:rsidRPr="00A73618" w:rsidRDefault="00B328F5" w:rsidP="00A73618">
      <w:pPr>
        <w:spacing w:after="120"/>
        <w:rPr>
          <w:smallCaps/>
          <w:sz w:val="21"/>
          <w:szCs w:val="21"/>
          <w:bdr w:val="single" w:sz="2" w:space="0" w:color="959CB6" w:frame="1"/>
          <w:shd w:val="clear" w:color="auto" w:fill="FAFAFA"/>
        </w:rPr>
      </w:pPr>
      <w:r w:rsidRPr="00A73618">
        <w:rPr>
          <w:rStyle w:val="FootnoteReference"/>
          <w:sz w:val="21"/>
          <w:szCs w:val="21"/>
        </w:rPr>
        <w:footnoteRef/>
      </w:r>
      <w:r w:rsidRPr="00A73618">
        <w:rPr>
          <w:sz w:val="21"/>
          <w:szCs w:val="21"/>
        </w:rPr>
        <w:t xml:space="preserve"> </w:t>
      </w:r>
      <w:r w:rsidR="007F272B" w:rsidRPr="00A73618">
        <w:rPr>
          <w:rStyle w:val="small-caps"/>
          <w:smallCaps/>
          <w:sz w:val="21"/>
          <w:szCs w:val="21"/>
          <w:bdr w:val="single" w:sz="2" w:space="0" w:color="959CB6" w:frame="1"/>
          <w:shd w:val="clear" w:color="auto" w:fill="FAFAFA"/>
        </w:rPr>
        <w:t>Md. Code Ann.</w:t>
      </w:r>
      <w:r w:rsidR="007F272B" w:rsidRPr="00A73618">
        <w:rPr>
          <w:sz w:val="21"/>
          <w:szCs w:val="21"/>
          <w:shd w:val="clear" w:color="auto" w:fill="FAFAFA"/>
        </w:rPr>
        <w:t>, </w:t>
      </w:r>
      <w:r w:rsidR="007F272B" w:rsidRPr="00A73618">
        <w:rPr>
          <w:rStyle w:val="small-caps"/>
          <w:smallCaps/>
          <w:sz w:val="21"/>
          <w:szCs w:val="21"/>
          <w:bdr w:val="single" w:sz="2" w:space="0" w:color="959CB6" w:frame="1"/>
          <w:shd w:val="clear" w:color="auto" w:fill="FAFAFA"/>
        </w:rPr>
        <w:t>Gen. Prov.</w:t>
      </w:r>
      <w:r w:rsidR="007F272B" w:rsidRPr="00A73618">
        <w:rPr>
          <w:sz w:val="21"/>
          <w:szCs w:val="21"/>
          <w:shd w:val="clear" w:color="auto" w:fill="FAFAFA"/>
        </w:rPr>
        <w:t> § 4-202 (2021).</w:t>
      </w:r>
    </w:p>
  </w:footnote>
  <w:footnote w:id="35">
    <w:p w14:paraId="299613D5" w14:textId="23222776" w:rsidR="00B328F5" w:rsidRPr="00A73618" w:rsidRDefault="00B328F5" w:rsidP="00A73618">
      <w:pPr>
        <w:spacing w:after="120"/>
        <w:rPr>
          <w:smallCaps/>
          <w:sz w:val="21"/>
          <w:szCs w:val="21"/>
          <w:bdr w:val="single" w:sz="2" w:space="0" w:color="959CB6" w:frame="1"/>
          <w:shd w:val="clear" w:color="auto" w:fill="FAFAFA"/>
        </w:rPr>
      </w:pPr>
      <w:r w:rsidRPr="00A73618">
        <w:rPr>
          <w:rStyle w:val="FootnoteReference"/>
          <w:sz w:val="21"/>
          <w:szCs w:val="21"/>
        </w:rPr>
        <w:footnoteRef/>
      </w:r>
      <w:r w:rsidRPr="00A73618">
        <w:rPr>
          <w:sz w:val="21"/>
          <w:szCs w:val="21"/>
        </w:rPr>
        <w:t xml:space="preserve"> </w:t>
      </w:r>
      <w:r w:rsidR="007F272B" w:rsidRPr="00A73618">
        <w:rPr>
          <w:rStyle w:val="small-caps"/>
          <w:smallCaps/>
          <w:sz w:val="21"/>
          <w:szCs w:val="21"/>
          <w:bdr w:val="single" w:sz="2" w:space="0" w:color="959CB6" w:frame="1"/>
          <w:shd w:val="clear" w:color="auto" w:fill="FAFAFA"/>
        </w:rPr>
        <w:t>Mich. Comp. Laws </w:t>
      </w:r>
      <w:r w:rsidR="007F272B" w:rsidRPr="00A73618">
        <w:rPr>
          <w:sz w:val="21"/>
          <w:szCs w:val="21"/>
          <w:shd w:val="clear" w:color="auto" w:fill="FAFAFA"/>
        </w:rPr>
        <w:t>§ 15.233 (</w:t>
      </w:r>
      <w:r w:rsidR="007F272B" w:rsidRPr="00A73618">
        <w:rPr>
          <w:rStyle w:val="colored-text"/>
          <w:color w:val="242B9B"/>
          <w:sz w:val="21"/>
          <w:szCs w:val="21"/>
          <w:bdr w:val="single" w:sz="2" w:space="0" w:color="959CB6" w:frame="1"/>
          <w:shd w:val="clear" w:color="auto" w:fill="FAFAFA"/>
        </w:rPr>
        <w:t>2021</w:t>
      </w:r>
      <w:r w:rsidR="007F272B" w:rsidRPr="00A73618">
        <w:rPr>
          <w:sz w:val="21"/>
          <w:szCs w:val="21"/>
          <w:shd w:val="clear" w:color="auto" w:fill="FAFAFA"/>
        </w:rPr>
        <w:t>).</w:t>
      </w:r>
    </w:p>
  </w:footnote>
  <w:footnote w:id="36">
    <w:p w14:paraId="30BDCFCC" w14:textId="02B6CF4E" w:rsidR="007F272B" w:rsidRPr="00A73618" w:rsidRDefault="007F272B"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color w:val="000000"/>
          <w:sz w:val="21"/>
          <w:szCs w:val="21"/>
        </w:rPr>
        <w:t xml:space="preserve">Any officer or employee of a public agency who receives a request for access to a government record shall forward the request to the custodian of the record or direct the requestor to the custodian of the record.” </w:t>
      </w:r>
      <w:r w:rsidRPr="00A73618">
        <w:rPr>
          <w:smallCaps/>
          <w:sz w:val="21"/>
          <w:szCs w:val="21"/>
          <w:bdr w:val="single" w:sz="2" w:space="0" w:color="959CB6" w:frame="1"/>
          <w:shd w:val="clear" w:color="auto" w:fill="FAFAFA"/>
        </w:rPr>
        <w:t>N.J. Rev. Stat.</w:t>
      </w:r>
      <w:r w:rsidRPr="00A73618">
        <w:rPr>
          <w:sz w:val="21"/>
          <w:szCs w:val="21"/>
          <w:shd w:val="clear" w:color="auto" w:fill="FAFAFA"/>
        </w:rPr>
        <w:t> § 47:1A-5(h) (</w:t>
      </w:r>
      <w:r w:rsidRPr="00A73618">
        <w:rPr>
          <w:color w:val="242B9B"/>
          <w:sz w:val="21"/>
          <w:szCs w:val="21"/>
          <w:bdr w:val="single" w:sz="2" w:space="0" w:color="959CB6" w:frame="1"/>
          <w:shd w:val="clear" w:color="auto" w:fill="FAFAFA"/>
        </w:rPr>
        <w:t>2021).</w:t>
      </w:r>
    </w:p>
  </w:footnote>
  <w:footnote w:id="37">
    <w:p w14:paraId="7329E668" w14:textId="0D62B23F" w:rsidR="009049C6" w:rsidRPr="00A73618" w:rsidRDefault="009049C6"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 xml:space="preserve">See </w:t>
      </w:r>
      <w:r w:rsidRPr="00A73618">
        <w:rPr>
          <w:smallCaps/>
          <w:sz w:val="21"/>
          <w:szCs w:val="21"/>
          <w:bdr w:val="single" w:sz="2" w:space="0" w:color="959CB6" w:frame="1"/>
          <w:shd w:val="clear" w:color="auto" w:fill="FAFAFA"/>
        </w:rPr>
        <w:t>Ala. Code</w:t>
      </w:r>
      <w:r w:rsidRPr="00A73618">
        <w:rPr>
          <w:sz w:val="21"/>
          <w:szCs w:val="21"/>
          <w:shd w:val="clear" w:color="auto" w:fill="FAFAFA"/>
        </w:rPr>
        <w:t> § 36-12-41 </w:t>
      </w:r>
      <w:r w:rsidRPr="00A73618">
        <w:rPr>
          <w:color w:val="000000"/>
          <w:sz w:val="21"/>
          <w:szCs w:val="21"/>
          <w:bdr w:val="single" w:sz="2" w:space="0" w:color="959CB6" w:frame="1"/>
          <w:shd w:val="clear" w:color="auto" w:fill="FAFAFA"/>
        </w:rPr>
        <w:t>(</w:t>
      </w:r>
      <w:r w:rsidRPr="00A73618">
        <w:rPr>
          <w:color w:val="242B9B"/>
          <w:sz w:val="21"/>
          <w:szCs w:val="21"/>
          <w:bdr w:val="single" w:sz="2" w:space="0" w:color="959CB6" w:frame="1"/>
          <w:shd w:val="clear" w:color="auto" w:fill="FAFAFA"/>
        </w:rPr>
        <w:t>2014).</w:t>
      </w:r>
    </w:p>
  </w:footnote>
  <w:footnote w:id="38">
    <w:p w14:paraId="65512E0B" w14:textId="79193BA7" w:rsidR="009049C6" w:rsidRPr="00A73618" w:rsidRDefault="009049C6"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 xml:space="preserve">See </w:t>
      </w:r>
      <w:r w:rsidRPr="00A73618">
        <w:rPr>
          <w:smallCaps/>
          <w:sz w:val="21"/>
          <w:szCs w:val="21"/>
          <w:bdr w:val="single" w:sz="2" w:space="0" w:color="959CB6" w:frame="1"/>
          <w:shd w:val="clear" w:color="auto" w:fill="FAFAFA"/>
        </w:rPr>
        <w:t>Alaska Stat</w:t>
      </w:r>
      <w:r w:rsidRPr="00A73618">
        <w:rPr>
          <w:sz w:val="21"/>
          <w:szCs w:val="21"/>
          <w:shd w:val="clear" w:color="auto" w:fill="FAFAFA"/>
        </w:rPr>
        <w:t>. § 40,.25.10 (</w:t>
      </w:r>
      <w:r w:rsidRPr="00A73618">
        <w:rPr>
          <w:color w:val="242B9B"/>
          <w:sz w:val="21"/>
          <w:szCs w:val="21"/>
          <w:bdr w:val="single" w:sz="2" w:space="0" w:color="959CB6" w:frame="1"/>
          <w:shd w:val="clear" w:color="auto" w:fill="FAFAFA"/>
        </w:rPr>
        <w:t>2021</w:t>
      </w:r>
      <w:r w:rsidRPr="00A73618">
        <w:rPr>
          <w:sz w:val="21"/>
          <w:szCs w:val="21"/>
          <w:shd w:val="clear" w:color="auto" w:fill="FAFAFA"/>
        </w:rPr>
        <w:t>).</w:t>
      </w:r>
    </w:p>
  </w:footnote>
  <w:footnote w:id="39">
    <w:p w14:paraId="76CDED42" w14:textId="573D9AC4" w:rsidR="009049C6" w:rsidRPr="00A73618" w:rsidRDefault="009049C6"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 xml:space="preserve">See </w:t>
      </w:r>
      <w:r w:rsidRPr="00A73618">
        <w:rPr>
          <w:smallCaps/>
          <w:sz w:val="21"/>
          <w:szCs w:val="21"/>
          <w:bdr w:val="single" w:sz="2" w:space="0" w:color="959CB6" w:frame="1"/>
          <w:shd w:val="clear" w:color="auto" w:fill="FAFAFA"/>
        </w:rPr>
        <w:t>Ariz. Rev. Stat. Ann. </w:t>
      </w:r>
      <w:r w:rsidRPr="00A73618">
        <w:rPr>
          <w:sz w:val="21"/>
          <w:szCs w:val="21"/>
          <w:shd w:val="clear" w:color="auto" w:fill="FAFAFA"/>
        </w:rPr>
        <w:t>§ 39-121.01</w:t>
      </w:r>
      <w:r w:rsidRPr="00A73618">
        <w:rPr>
          <w:smallCaps/>
          <w:sz w:val="21"/>
          <w:szCs w:val="21"/>
          <w:bdr w:val="single" w:sz="2" w:space="0" w:color="959CB6" w:frame="1"/>
          <w:shd w:val="clear" w:color="auto" w:fill="FAFAFA"/>
        </w:rPr>
        <w:t> </w:t>
      </w:r>
      <w:r w:rsidRPr="00A73618">
        <w:rPr>
          <w:sz w:val="21"/>
          <w:szCs w:val="21"/>
          <w:shd w:val="clear" w:color="auto" w:fill="FAFAFA"/>
        </w:rPr>
        <w:t>(</w:t>
      </w:r>
      <w:r w:rsidRPr="00A73618">
        <w:rPr>
          <w:color w:val="242B9B"/>
          <w:sz w:val="21"/>
          <w:szCs w:val="21"/>
          <w:bdr w:val="single" w:sz="2" w:space="0" w:color="959CB6" w:frame="1"/>
          <w:shd w:val="clear" w:color="auto" w:fill="FAFAFA"/>
        </w:rPr>
        <w:t>2021</w:t>
      </w:r>
      <w:r w:rsidRPr="00A73618">
        <w:rPr>
          <w:sz w:val="21"/>
          <w:szCs w:val="21"/>
          <w:shd w:val="clear" w:color="auto" w:fill="FAFAFA"/>
        </w:rPr>
        <w:t>).</w:t>
      </w:r>
    </w:p>
  </w:footnote>
  <w:footnote w:id="40">
    <w:p w14:paraId="3EFF6F6F" w14:textId="5E4A3FF7" w:rsidR="009049C6" w:rsidRPr="00A73618" w:rsidRDefault="009049C6"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 xml:space="preserve">See </w:t>
      </w:r>
      <w:r w:rsidRPr="00A73618">
        <w:rPr>
          <w:smallCaps/>
          <w:sz w:val="21"/>
          <w:szCs w:val="21"/>
          <w:bdr w:val="single" w:sz="2" w:space="0" w:color="959CB6" w:frame="1"/>
          <w:shd w:val="clear" w:color="auto" w:fill="FAFAFA"/>
        </w:rPr>
        <w:t>Haw. Rev. Stat</w:t>
      </w:r>
      <w:r w:rsidRPr="00A73618">
        <w:rPr>
          <w:sz w:val="21"/>
          <w:szCs w:val="21"/>
          <w:shd w:val="clear" w:color="auto" w:fill="FAFAFA"/>
        </w:rPr>
        <w:t>. § 92F-23 (</w:t>
      </w:r>
      <w:r w:rsidRPr="00A73618">
        <w:rPr>
          <w:color w:val="242B9B"/>
          <w:sz w:val="21"/>
          <w:szCs w:val="21"/>
          <w:bdr w:val="single" w:sz="2" w:space="0" w:color="959CB6" w:frame="1"/>
          <w:shd w:val="clear" w:color="auto" w:fill="FAFAFA"/>
        </w:rPr>
        <w:t>2021</w:t>
      </w:r>
      <w:r w:rsidRPr="00A73618">
        <w:rPr>
          <w:sz w:val="21"/>
          <w:szCs w:val="21"/>
          <w:shd w:val="clear" w:color="auto" w:fill="FAFAFA"/>
        </w:rPr>
        <w:t>).</w:t>
      </w:r>
    </w:p>
  </w:footnote>
  <w:footnote w:id="41">
    <w:p w14:paraId="5D0F13B0" w14:textId="07A4C227" w:rsidR="009049C6" w:rsidRPr="00A73618" w:rsidRDefault="009049C6" w:rsidP="00A73618">
      <w:pPr>
        <w:spacing w:after="120"/>
        <w:rPr>
          <w:sz w:val="21"/>
          <w:szCs w:val="21"/>
        </w:rPr>
      </w:pPr>
      <w:r w:rsidRPr="00A73618">
        <w:rPr>
          <w:rStyle w:val="FootnoteReference"/>
          <w:sz w:val="21"/>
          <w:szCs w:val="21"/>
        </w:rPr>
        <w:footnoteRef/>
      </w:r>
      <w:r w:rsidRPr="00A73618">
        <w:rPr>
          <w:sz w:val="21"/>
          <w:szCs w:val="21"/>
        </w:rPr>
        <w:t xml:space="preserve"> </w:t>
      </w:r>
      <w:r w:rsidR="00470EF5" w:rsidRPr="00A73618">
        <w:rPr>
          <w:i/>
          <w:iCs/>
          <w:sz w:val="21"/>
          <w:szCs w:val="21"/>
        </w:rPr>
        <w:t xml:space="preserve">See </w:t>
      </w:r>
      <w:r w:rsidR="00470EF5" w:rsidRPr="00A73618">
        <w:rPr>
          <w:smallCaps/>
          <w:sz w:val="21"/>
          <w:szCs w:val="21"/>
          <w:bdr w:val="single" w:sz="2" w:space="0" w:color="959CB6" w:frame="1"/>
          <w:shd w:val="clear" w:color="auto" w:fill="FAFAFA"/>
        </w:rPr>
        <w:t>Iowa Code</w:t>
      </w:r>
      <w:r w:rsidR="00470EF5" w:rsidRPr="00A73618">
        <w:rPr>
          <w:sz w:val="21"/>
          <w:szCs w:val="21"/>
          <w:shd w:val="clear" w:color="auto" w:fill="FAFAFA"/>
        </w:rPr>
        <w:t> § 22.8 (</w:t>
      </w:r>
      <w:r w:rsidR="00470EF5" w:rsidRPr="00A73618">
        <w:rPr>
          <w:color w:val="242B9B"/>
          <w:sz w:val="21"/>
          <w:szCs w:val="21"/>
          <w:bdr w:val="single" w:sz="2" w:space="0" w:color="959CB6" w:frame="1"/>
          <w:shd w:val="clear" w:color="auto" w:fill="FAFAFA"/>
        </w:rPr>
        <w:t>2021</w:t>
      </w:r>
      <w:r w:rsidR="00470EF5" w:rsidRPr="00A73618">
        <w:rPr>
          <w:sz w:val="21"/>
          <w:szCs w:val="21"/>
          <w:shd w:val="clear" w:color="auto" w:fill="FAFAFA"/>
        </w:rPr>
        <w:t>).</w:t>
      </w:r>
    </w:p>
  </w:footnote>
  <w:footnote w:id="42">
    <w:p w14:paraId="0FBE01E1" w14:textId="546203AF" w:rsidR="009049C6" w:rsidRPr="00A73618" w:rsidRDefault="009049C6"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00470EF5" w:rsidRPr="00A73618">
        <w:rPr>
          <w:i/>
          <w:iCs/>
          <w:sz w:val="21"/>
          <w:szCs w:val="21"/>
        </w:rPr>
        <w:t xml:space="preserve">See </w:t>
      </w:r>
      <w:r w:rsidR="00470EF5" w:rsidRPr="00A73618">
        <w:rPr>
          <w:rStyle w:val="small-caps"/>
          <w:smallCaps/>
          <w:sz w:val="21"/>
          <w:szCs w:val="21"/>
          <w:bdr w:val="single" w:sz="2" w:space="0" w:color="959CB6" w:frame="1"/>
          <w:shd w:val="clear" w:color="auto" w:fill="FAFAFA"/>
        </w:rPr>
        <w:t>Mich. Comp. Laws </w:t>
      </w:r>
      <w:r w:rsidR="00470EF5" w:rsidRPr="00A73618">
        <w:rPr>
          <w:sz w:val="21"/>
          <w:szCs w:val="21"/>
          <w:shd w:val="clear" w:color="auto" w:fill="FAFAFA"/>
        </w:rPr>
        <w:t>§ 15.233 (</w:t>
      </w:r>
      <w:r w:rsidR="00470EF5" w:rsidRPr="00A73618">
        <w:rPr>
          <w:rStyle w:val="colored-text"/>
          <w:color w:val="242B9B"/>
          <w:sz w:val="21"/>
          <w:szCs w:val="21"/>
          <w:bdr w:val="single" w:sz="2" w:space="0" w:color="959CB6" w:frame="1"/>
          <w:shd w:val="clear" w:color="auto" w:fill="FAFAFA"/>
        </w:rPr>
        <w:t>2021</w:t>
      </w:r>
      <w:r w:rsidR="00470EF5" w:rsidRPr="00A73618">
        <w:rPr>
          <w:sz w:val="21"/>
          <w:szCs w:val="21"/>
          <w:shd w:val="clear" w:color="auto" w:fill="FAFAFA"/>
        </w:rPr>
        <w:t>).</w:t>
      </w:r>
    </w:p>
  </w:footnote>
  <w:footnote w:id="43">
    <w:p w14:paraId="3B1E56F3" w14:textId="3B89B39B" w:rsidR="009049C6" w:rsidRPr="00A73618" w:rsidRDefault="009049C6" w:rsidP="00A73618">
      <w:pPr>
        <w:spacing w:after="120"/>
        <w:rPr>
          <w:sz w:val="21"/>
          <w:szCs w:val="21"/>
        </w:rPr>
      </w:pPr>
      <w:r w:rsidRPr="00A73618">
        <w:rPr>
          <w:rStyle w:val="FootnoteReference"/>
          <w:sz w:val="21"/>
          <w:szCs w:val="21"/>
        </w:rPr>
        <w:footnoteRef/>
      </w:r>
      <w:r w:rsidRPr="00A73618">
        <w:rPr>
          <w:sz w:val="21"/>
          <w:szCs w:val="21"/>
        </w:rPr>
        <w:t xml:space="preserve"> </w:t>
      </w:r>
      <w:r w:rsidR="00470EF5" w:rsidRPr="00A73618">
        <w:rPr>
          <w:i/>
          <w:iCs/>
          <w:sz w:val="21"/>
          <w:szCs w:val="21"/>
        </w:rPr>
        <w:t xml:space="preserve">See </w:t>
      </w:r>
      <w:r w:rsidR="00470EF5" w:rsidRPr="00A73618">
        <w:rPr>
          <w:rStyle w:val="small-caps"/>
          <w:smallCaps/>
          <w:sz w:val="21"/>
          <w:szCs w:val="21"/>
          <w:bdr w:val="single" w:sz="2" w:space="0" w:color="959CB6" w:frame="1"/>
          <w:shd w:val="clear" w:color="auto" w:fill="FAFAFA"/>
        </w:rPr>
        <w:t>Miss. Code Ann.</w:t>
      </w:r>
      <w:r w:rsidR="00470EF5" w:rsidRPr="00A73618">
        <w:rPr>
          <w:sz w:val="21"/>
          <w:szCs w:val="21"/>
          <w:shd w:val="clear" w:color="auto" w:fill="FAFAFA"/>
        </w:rPr>
        <w:t> § 25-61-1 (2021).</w:t>
      </w:r>
    </w:p>
  </w:footnote>
  <w:footnote w:id="44">
    <w:p w14:paraId="536EE6D6" w14:textId="64F2D2A3" w:rsidR="009049C6" w:rsidRPr="00A73618" w:rsidRDefault="009049C6" w:rsidP="00A73618">
      <w:pPr>
        <w:spacing w:after="120"/>
        <w:rPr>
          <w:sz w:val="21"/>
          <w:szCs w:val="21"/>
        </w:rPr>
      </w:pPr>
      <w:r w:rsidRPr="00A73618">
        <w:rPr>
          <w:rStyle w:val="FootnoteReference"/>
          <w:sz w:val="21"/>
          <w:szCs w:val="21"/>
        </w:rPr>
        <w:footnoteRef/>
      </w:r>
      <w:r w:rsidRPr="00A73618">
        <w:rPr>
          <w:sz w:val="21"/>
          <w:szCs w:val="21"/>
        </w:rPr>
        <w:t xml:space="preserve"> </w:t>
      </w:r>
      <w:r w:rsidR="00470EF5" w:rsidRPr="00A73618">
        <w:rPr>
          <w:i/>
          <w:iCs/>
          <w:sz w:val="21"/>
          <w:szCs w:val="21"/>
        </w:rPr>
        <w:t xml:space="preserve">See </w:t>
      </w:r>
      <w:r w:rsidR="00470EF5" w:rsidRPr="00A73618">
        <w:rPr>
          <w:rStyle w:val="small-caps"/>
          <w:smallCaps/>
          <w:sz w:val="21"/>
          <w:szCs w:val="21"/>
          <w:bdr w:val="single" w:sz="2" w:space="0" w:color="959CB6" w:frame="1"/>
          <w:shd w:val="clear" w:color="auto" w:fill="FAFAFA"/>
        </w:rPr>
        <w:t>N.C. Gen. Stat</w:t>
      </w:r>
      <w:r w:rsidR="00470EF5" w:rsidRPr="00A73618">
        <w:rPr>
          <w:sz w:val="21"/>
          <w:szCs w:val="21"/>
          <w:shd w:val="clear" w:color="auto" w:fill="FAFAFA"/>
        </w:rPr>
        <w:t>. § 132-6 (</w:t>
      </w:r>
      <w:r w:rsidR="00470EF5" w:rsidRPr="00A73618">
        <w:rPr>
          <w:rStyle w:val="colored-text"/>
          <w:color w:val="242B9B"/>
          <w:sz w:val="21"/>
          <w:szCs w:val="21"/>
          <w:bdr w:val="single" w:sz="2" w:space="0" w:color="959CB6" w:frame="1"/>
          <w:shd w:val="clear" w:color="auto" w:fill="FAFAFA"/>
        </w:rPr>
        <w:t>2021</w:t>
      </w:r>
      <w:r w:rsidR="00470EF5" w:rsidRPr="00A73618">
        <w:rPr>
          <w:sz w:val="21"/>
          <w:szCs w:val="21"/>
          <w:shd w:val="clear" w:color="auto" w:fill="FAFAFA"/>
        </w:rPr>
        <w:t>).</w:t>
      </w:r>
    </w:p>
  </w:footnote>
  <w:footnote w:id="45">
    <w:p w14:paraId="3792130F" w14:textId="4D6830D5" w:rsidR="009049C6" w:rsidRPr="00A73618" w:rsidRDefault="009049C6" w:rsidP="00A73618">
      <w:pPr>
        <w:spacing w:after="120"/>
        <w:rPr>
          <w:sz w:val="21"/>
          <w:szCs w:val="21"/>
        </w:rPr>
      </w:pPr>
      <w:r w:rsidRPr="00A73618">
        <w:rPr>
          <w:rStyle w:val="FootnoteReference"/>
          <w:sz w:val="21"/>
          <w:szCs w:val="21"/>
        </w:rPr>
        <w:footnoteRef/>
      </w:r>
      <w:r w:rsidRPr="00A73618">
        <w:rPr>
          <w:sz w:val="21"/>
          <w:szCs w:val="21"/>
        </w:rPr>
        <w:t xml:space="preserve"> </w:t>
      </w:r>
      <w:r w:rsidR="00470EF5" w:rsidRPr="00A73618">
        <w:rPr>
          <w:i/>
          <w:iCs/>
          <w:sz w:val="21"/>
          <w:szCs w:val="21"/>
        </w:rPr>
        <w:t xml:space="preserve">See </w:t>
      </w:r>
      <w:r w:rsidR="00470EF5" w:rsidRPr="00A73618">
        <w:rPr>
          <w:rStyle w:val="small-caps"/>
          <w:smallCaps/>
          <w:sz w:val="21"/>
          <w:szCs w:val="21"/>
          <w:bdr w:val="single" w:sz="2" w:space="0" w:color="959CB6" w:frame="1"/>
          <w:shd w:val="clear" w:color="auto" w:fill="FAFAFA"/>
        </w:rPr>
        <w:t>N.D. Cent. Code</w:t>
      </w:r>
      <w:r w:rsidR="00470EF5" w:rsidRPr="00A73618">
        <w:rPr>
          <w:sz w:val="21"/>
          <w:szCs w:val="21"/>
          <w:shd w:val="clear" w:color="auto" w:fill="FAFAFA"/>
        </w:rPr>
        <w:t> § 44-04-18 (</w:t>
      </w:r>
      <w:r w:rsidR="00470EF5" w:rsidRPr="00A73618">
        <w:rPr>
          <w:rStyle w:val="colored-text"/>
          <w:color w:val="242B9B"/>
          <w:sz w:val="21"/>
          <w:szCs w:val="21"/>
          <w:bdr w:val="single" w:sz="2" w:space="0" w:color="959CB6" w:frame="1"/>
          <w:shd w:val="clear" w:color="auto" w:fill="FAFAFA"/>
        </w:rPr>
        <w:t>2021</w:t>
      </w:r>
      <w:r w:rsidR="00470EF5" w:rsidRPr="00A73618">
        <w:rPr>
          <w:sz w:val="21"/>
          <w:szCs w:val="21"/>
          <w:shd w:val="clear" w:color="auto" w:fill="FAFAFA"/>
        </w:rPr>
        <w:t>).</w:t>
      </w:r>
    </w:p>
  </w:footnote>
  <w:footnote w:id="46">
    <w:p w14:paraId="1B0E00C7" w14:textId="1993A77F" w:rsidR="009049C6" w:rsidRPr="00A73618" w:rsidRDefault="009049C6" w:rsidP="00A73618">
      <w:pPr>
        <w:spacing w:after="120"/>
        <w:rPr>
          <w:sz w:val="21"/>
          <w:szCs w:val="21"/>
        </w:rPr>
      </w:pPr>
      <w:r w:rsidRPr="00A73618">
        <w:rPr>
          <w:rStyle w:val="FootnoteReference"/>
          <w:sz w:val="21"/>
          <w:szCs w:val="21"/>
        </w:rPr>
        <w:footnoteRef/>
      </w:r>
      <w:r w:rsidRPr="00A73618">
        <w:rPr>
          <w:sz w:val="21"/>
          <w:szCs w:val="21"/>
        </w:rPr>
        <w:t xml:space="preserve"> </w:t>
      </w:r>
      <w:r w:rsidR="00470EF5" w:rsidRPr="00A73618">
        <w:rPr>
          <w:i/>
          <w:iCs/>
          <w:sz w:val="21"/>
          <w:szCs w:val="21"/>
        </w:rPr>
        <w:t xml:space="preserve">See </w:t>
      </w:r>
      <w:r w:rsidR="00470EF5" w:rsidRPr="00A73618">
        <w:rPr>
          <w:rStyle w:val="small-caps"/>
          <w:smallCaps/>
          <w:sz w:val="21"/>
          <w:szCs w:val="21"/>
          <w:bdr w:val="single" w:sz="2" w:space="0" w:color="959CB6" w:frame="1"/>
          <w:shd w:val="clear" w:color="auto" w:fill="FAFAFA"/>
        </w:rPr>
        <w:t>S.D. Codified Laws</w:t>
      </w:r>
      <w:r w:rsidR="00470EF5" w:rsidRPr="00A73618">
        <w:rPr>
          <w:sz w:val="21"/>
          <w:szCs w:val="21"/>
          <w:shd w:val="clear" w:color="auto" w:fill="FAFAFA"/>
        </w:rPr>
        <w:t> § 1-27-1 (</w:t>
      </w:r>
      <w:r w:rsidR="00470EF5" w:rsidRPr="00A73618">
        <w:rPr>
          <w:rStyle w:val="colored-text"/>
          <w:color w:val="242B9B"/>
          <w:sz w:val="21"/>
          <w:szCs w:val="21"/>
          <w:bdr w:val="single" w:sz="2" w:space="0" w:color="959CB6" w:frame="1"/>
          <w:shd w:val="clear" w:color="auto" w:fill="FAFAFA"/>
        </w:rPr>
        <w:t>2021</w:t>
      </w:r>
      <w:r w:rsidR="00470EF5" w:rsidRPr="00A73618">
        <w:rPr>
          <w:sz w:val="21"/>
          <w:szCs w:val="21"/>
          <w:shd w:val="clear" w:color="auto" w:fill="FAFAFA"/>
        </w:rPr>
        <w:t>).</w:t>
      </w:r>
    </w:p>
  </w:footnote>
  <w:footnote w:id="47">
    <w:p w14:paraId="0B8916FE" w14:textId="41E93A7B" w:rsidR="00470EF5" w:rsidRPr="00A73618" w:rsidRDefault="00470EF5"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 xml:space="preserve">See </w:t>
      </w:r>
      <w:r w:rsidRPr="00A73618">
        <w:rPr>
          <w:smallCaps/>
          <w:sz w:val="21"/>
          <w:szCs w:val="21"/>
          <w:bdr w:val="single" w:sz="2" w:space="0" w:color="959CB6" w:frame="1"/>
          <w:shd w:val="clear" w:color="auto" w:fill="FAFAFA"/>
        </w:rPr>
        <w:t>Fla. Stat</w:t>
      </w:r>
      <w:r w:rsidRPr="00A73618">
        <w:rPr>
          <w:sz w:val="21"/>
          <w:szCs w:val="21"/>
          <w:shd w:val="clear" w:color="auto" w:fill="FAFAFA"/>
        </w:rPr>
        <w:t>. § 119.07(1)(c) (</w:t>
      </w:r>
      <w:r w:rsidRPr="00A73618">
        <w:rPr>
          <w:color w:val="242B9B"/>
          <w:sz w:val="21"/>
          <w:szCs w:val="21"/>
          <w:bdr w:val="single" w:sz="2" w:space="0" w:color="959CB6" w:frame="1"/>
          <w:shd w:val="clear" w:color="auto" w:fill="FAFAFA"/>
        </w:rPr>
        <w:t>2021</w:t>
      </w:r>
      <w:r w:rsidRPr="00A73618">
        <w:rPr>
          <w:sz w:val="21"/>
          <w:szCs w:val="21"/>
          <w:shd w:val="clear" w:color="auto" w:fill="FAFAFA"/>
        </w:rPr>
        <w:t>). “</w:t>
      </w:r>
      <w:r w:rsidRPr="00A73618">
        <w:rPr>
          <w:color w:val="000080"/>
          <w:sz w:val="21"/>
          <w:szCs w:val="21"/>
          <w:shd w:val="clear" w:color="auto" w:fill="FFFFFF"/>
        </w:rPr>
        <w:t>A custodian of public records and his or her designee must acknowledge requests to inspect or copy records promptly and respond to such requests in good faith.</w:t>
      </w:r>
      <w:r w:rsidRPr="00A73618">
        <w:rPr>
          <w:sz w:val="21"/>
          <w:szCs w:val="21"/>
        </w:rPr>
        <w:t>”</w:t>
      </w:r>
    </w:p>
  </w:footnote>
  <w:footnote w:id="48">
    <w:p w14:paraId="3AF8762B" w14:textId="549B2011" w:rsidR="00470EF5" w:rsidRPr="00A73618" w:rsidRDefault="00470EF5"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color w:val="000000"/>
          <w:sz w:val="21"/>
          <w:szCs w:val="21"/>
          <w:shd w:val="clear" w:color="auto" w:fill="FFFFFF"/>
        </w:rPr>
        <w:t xml:space="preserve">(a) The responsible authority in every government entity shall establish procedures, consistent with this chapter, to insure that requests for government data are received and complied with in an appropriate and prompt manner.” </w:t>
      </w:r>
      <w:r w:rsidRPr="00A73618">
        <w:rPr>
          <w:rStyle w:val="small-caps"/>
          <w:smallCaps/>
          <w:sz w:val="21"/>
          <w:szCs w:val="21"/>
          <w:bdr w:val="single" w:sz="2" w:space="0" w:color="959CB6" w:frame="1"/>
          <w:shd w:val="clear" w:color="auto" w:fill="FAFAFA"/>
        </w:rPr>
        <w:t>Minn. Stat.</w:t>
      </w:r>
      <w:r w:rsidRPr="00A73618">
        <w:rPr>
          <w:sz w:val="21"/>
          <w:szCs w:val="21"/>
          <w:shd w:val="clear" w:color="auto" w:fill="FAFAFA"/>
        </w:rPr>
        <w:t> § 13.03(2)(b) (</w:t>
      </w:r>
      <w:r w:rsidRPr="00A73618">
        <w:rPr>
          <w:rStyle w:val="colored-text"/>
          <w:color w:val="242B9B"/>
          <w:sz w:val="21"/>
          <w:szCs w:val="21"/>
          <w:bdr w:val="single" w:sz="2" w:space="0" w:color="959CB6" w:frame="1"/>
          <w:shd w:val="clear" w:color="auto" w:fill="FAFAFA"/>
        </w:rPr>
        <w:t>2021).</w:t>
      </w:r>
    </w:p>
  </w:footnote>
  <w:footnote w:id="49">
    <w:p w14:paraId="17C1CBC0" w14:textId="1C88973A" w:rsidR="00470EF5" w:rsidRPr="00A73618" w:rsidRDefault="00470EF5" w:rsidP="00A73618">
      <w:pPr>
        <w:spacing w:after="120"/>
        <w:rPr>
          <w:sz w:val="21"/>
          <w:szCs w:val="21"/>
        </w:rPr>
      </w:pPr>
      <w:r w:rsidRPr="00A73618">
        <w:rPr>
          <w:rStyle w:val="FootnoteReference"/>
          <w:sz w:val="21"/>
          <w:szCs w:val="21"/>
        </w:rPr>
        <w:footnoteRef/>
      </w:r>
      <w:r w:rsidRPr="00A73618">
        <w:rPr>
          <w:sz w:val="21"/>
          <w:szCs w:val="21"/>
        </w:rPr>
        <w:t xml:space="preserve"> “[A]</w:t>
      </w:r>
      <w:r w:rsidRPr="00A73618">
        <w:rPr>
          <w:color w:val="333333"/>
          <w:sz w:val="21"/>
          <w:szCs w:val="21"/>
          <w:shd w:val="clear" w:color="auto" w:fill="FFFFFF"/>
        </w:rPr>
        <w:t xml:space="preserve"> </w:t>
      </w:r>
      <w:proofErr w:type="spellStart"/>
      <w:r w:rsidRPr="00A73618">
        <w:rPr>
          <w:color w:val="333333"/>
          <w:sz w:val="21"/>
          <w:szCs w:val="21"/>
          <w:shd w:val="clear" w:color="auto" w:fill="FFFFFF"/>
        </w:rPr>
        <w:t>ll</w:t>
      </w:r>
      <w:proofErr w:type="spellEnd"/>
      <w:r w:rsidRPr="00A73618">
        <w:rPr>
          <w:color w:val="333333"/>
          <w:sz w:val="21"/>
          <w:szCs w:val="21"/>
          <w:shd w:val="clear" w:color="auto" w:fill="FFFFFF"/>
        </w:rPr>
        <w:t xml:space="preserve"> public records responsive to the request shall be promptly prepared and made available for inspection to any person at all reasonable times during regular business hours.” </w:t>
      </w:r>
      <w:r w:rsidRPr="00A73618">
        <w:rPr>
          <w:rStyle w:val="small-caps"/>
          <w:smallCaps/>
          <w:sz w:val="21"/>
          <w:szCs w:val="21"/>
          <w:bdr w:val="single" w:sz="2" w:space="0" w:color="959CB6" w:frame="1"/>
          <w:shd w:val="clear" w:color="auto" w:fill="FAFAFA"/>
        </w:rPr>
        <w:t>Ohio Rev. Code Ann.</w:t>
      </w:r>
      <w:r w:rsidRPr="00A73618">
        <w:rPr>
          <w:sz w:val="21"/>
          <w:szCs w:val="21"/>
          <w:shd w:val="clear" w:color="auto" w:fill="FAFAFA"/>
        </w:rPr>
        <w:t> § 149.43 (18)(b)(1) (2021).</w:t>
      </w:r>
    </w:p>
  </w:footnote>
  <w:footnote w:id="50">
    <w:p w14:paraId="33796F40" w14:textId="186672D5" w:rsidR="00470EF5" w:rsidRPr="00A73618" w:rsidRDefault="00470EF5"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color w:val="333333"/>
          <w:sz w:val="21"/>
          <w:szCs w:val="21"/>
          <w:shd w:val="clear" w:color="auto" w:fill="FFFFFF"/>
        </w:rPr>
        <w:t xml:space="preserve">A public body must provide prompt, reasonable access to its records but may establish reasonable procedures which protect the integrity and organization of its records and to prevent excessive disruptions of its essential functions. A delay in providing access to records shall be limited solely to the time required for preparing the requested documents and the avoidance of excessive disruptions of the public body's essential functions. In no event may production of a current request for records be unreasonably delayed until after completion of a prior records request that will take substantially longer than the current request. Any public body which makes the requested records available on the Internet shall meet the obligation of providing prompt, reasonable access to its records as required by this paragraph…” </w:t>
      </w:r>
      <w:r w:rsidRPr="00A73618">
        <w:rPr>
          <w:rStyle w:val="small-caps"/>
          <w:smallCaps/>
          <w:sz w:val="21"/>
          <w:szCs w:val="21"/>
          <w:bdr w:val="single" w:sz="2" w:space="0" w:color="959CB6" w:frame="1"/>
          <w:shd w:val="clear" w:color="auto" w:fill="FAFAFA"/>
        </w:rPr>
        <w:t>Okla. Stat.</w:t>
      </w:r>
      <w:r w:rsidRPr="00A73618">
        <w:rPr>
          <w:sz w:val="21"/>
          <w:szCs w:val="21"/>
          <w:shd w:val="clear" w:color="auto" w:fill="FAFAFA"/>
        </w:rPr>
        <w:t> tit. 51, § 24A.5(6) (</w:t>
      </w:r>
      <w:r w:rsidRPr="00A73618">
        <w:rPr>
          <w:rStyle w:val="colored-text"/>
          <w:color w:val="242B9B"/>
          <w:sz w:val="21"/>
          <w:szCs w:val="21"/>
          <w:bdr w:val="single" w:sz="2" w:space="0" w:color="959CB6" w:frame="1"/>
          <w:shd w:val="clear" w:color="auto" w:fill="FAFAFA"/>
        </w:rPr>
        <w:t>2021).</w:t>
      </w:r>
    </w:p>
  </w:footnote>
  <w:footnote w:id="51">
    <w:p w14:paraId="3C56723B" w14:textId="3797C068" w:rsidR="00470EF5" w:rsidRPr="00A73618" w:rsidRDefault="00470EF5"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color w:val="000000"/>
          <w:sz w:val="21"/>
          <w:szCs w:val="21"/>
          <w:shd w:val="clear" w:color="auto" w:fill="FFFFFF"/>
        </w:rPr>
        <w:t xml:space="preserve">An officer for public information of a governmental body shall promptly produce public information for inspection, duplication, or both on application by any person to the officer. In this subsection, "promptly" means as soon as possible under the circumstances, that is, within a reasonable time, without delay.” </w:t>
      </w:r>
      <w:r w:rsidRPr="00A73618">
        <w:rPr>
          <w:rStyle w:val="small-caps"/>
          <w:smallCaps/>
          <w:sz w:val="21"/>
          <w:szCs w:val="21"/>
          <w:bdr w:val="single" w:sz="2" w:space="0" w:color="959CB6" w:frame="1"/>
          <w:shd w:val="clear" w:color="auto" w:fill="FAFAFA"/>
        </w:rPr>
        <w:t>Tex.</w:t>
      </w:r>
      <w:r w:rsidRPr="00A73618">
        <w:rPr>
          <w:sz w:val="21"/>
          <w:szCs w:val="21"/>
          <w:shd w:val="clear" w:color="auto" w:fill="FAFAFA"/>
        </w:rPr>
        <w:t> </w:t>
      </w:r>
      <w:r w:rsidRPr="00A73618">
        <w:rPr>
          <w:rStyle w:val="small-caps"/>
          <w:smallCaps/>
          <w:sz w:val="21"/>
          <w:szCs w:val="21"/>
          <w:bdr w:val="single" w:sz="2" w:space="0" w:color="959CB6" w:frame="1"/>
          <w:shd w:val="clear" w:color="auto" w:fill="FAFAFA"/>
        </w:rPr>
        <w:t>Gov’t. Code Ann.</w:t>
      </w:r>
      <w:r w:rsidRPr="00A73618">
        <w:rPr>
          <w:sz w:val="21"/>
          <w:szCs w:val="21"/>
          <w:shd w:val="clear" w:color="auto" w:fill="FAFAFA"/>
        </w:rPr>
        <w:t> § 552.221 (2021).</w:t>
      </w:r>
    </w:p>
  </w:footnote>
  <w:footnote w:id="52">
    <w:p w14:paraId="0539DA07" w14:textId="77777777" w:rsidR="009D73FA" w:rsidRPr="00A73618" w:rsidRDefault="009D73FA" w:rsidP="00A73618">
      <w:pPr>
        <w:pStyle w:val="FootnoteText"/>
        <w:spacing w:after="120"/>
        <w:rPr>
          <w:sz w:val="21"/>
          <w:szCs w:val="21"/>
        </w:rPr>
      </w:pPr>
      <w:r w:rsidRPr="00A73618">
        <w:rPr>
          <w:rStyle w:val="FootnoteReference"/>
          <w:sz w:val="21"/>
          <w:szCs w:val="21"/>
        </w:rPr>
        <w:footnoteRef/>
      </w:r>
      <w:r w:rsidRPr="00A73618">
        <w:rPr>
          <w:sz w:val="21"/>
          <w:szCs w:val="21"/>
        </w:rPr>
        <w:t xml:space="preserve"> Texas Gov’t Code Sec. 552.221(a) </w:t>
      </w:r>
    </w:p>
  </w:footnote>
  <w:footnote w:id="53">
    <w:p w14:paraId="176DFDB6" w14:textId="77777777" w:rsidR="009D73FA" w:rsidRPr="00A73618" w:rsidRDefault="009D73FA" w:rsidP="00A73618">
      <w:pPr>
        <w:pStyle w:val="FootnoteText"/>
        <w:spacing w:after="120"/>
        <w:rPr>
          <w:sz w:val="21"/>
          <w:szCs w:val="21"/>
        </w:rPr>
      </w:pPr>
      <w:r w:rsidRPr="00A73618">
        <w:rPr>
          <w:rStyle w:val="FootnoteReference"/>
          <w:sz w:val="21"/>
          <w:szCs w:val="21"/>
        </w:rPr>
        <w:footnoteRef/>
      </w:r>
      <w:r w:rsidRPr="00A73618">
        <w:rPr>
          <w:sz w:val="21"/>
          <w:szCs w:val="21"/>
        </w:rPr>
        <w:t xml:space="preserve"> Houston Community College v. Hall Law Group, 2021 Tex. App. LEXIS 4579, p. 35 (Tex. Ct. App. 2021).</w:t>
      </w:r>
    </w:p>
  </w:footnote>
  <w:footnote w:id="54">
    <w:p w14:paraId="71AAE750" w14:textId="77777777" w:rsidR="009D73FA" w:rsidRPr="00A73618" w:rsidRDefault="009D73FA" w:rsidP="00A73618">
      <w:pPr>
        <w:pStyle w:val="FootnoteText"/>
        <w:spacing w:after="120"/>
        <w:rPr>
          <w:sz w:val="21"/>
          <w:szCs w:val="21"/>
        </w:rPr>
      </w:pPr>
      <w:r w:rsidRPr="00A73618">
        <w:rPr>
          <w:rStyle w:val="FootnoteReference"/>
          <w:sz w:val="21"/>
          <w:szCs w:val="21"/>
        </w:rPr>
        <w:footnoteRef/>
      </w:r>
      <w:r w:rsidRPr="00A73618">
        <w:rPr>
          <w:sz w:val="21"/>
          <w:szCs w:val="21"/>
        </w:rPr>
        <w:t xml:space="preserve"> Id.</w:t>
      </w:r>
    </w:p>
  </w:footnote>
  <w:footnote w:id="55">
    <w:p w14:paraId="4478CABE" w14:textId="77777777" w:rsidR="009D73FA" w:rsidRPr="00A73618" w:rsidRDefault="009D73FA" w:rsidP="00A73618">
      <w:pPr>
        <w:pStyle w:val="FootnoteText"/>
        <w:spacing w:after="120"/>
        <w:rPr>
          <w:sz w:val="21"/>
          <w:szCs w:val="21"/>
        </w:rPr>
      </w:pPr>
      <w:r w:rsidRPr="00A73618">
        <w:rPr>
          <w:rStyle w:val="FootnoteReference"/>
          <w:sz w:val="21"/>
          <w:szCs w:val="21"/>
        </w:rPr>
        <w:footnoteRef/>
      </w:r>
      <w:r w:rsidRPr="00A73618">
        <w:rPr>
          <w:sz w:val="21"/>
          <w:szCs w:val="21"/>
        </w:rPr>
        <w:t xml:space="preserve"> Id. at 36.</w:t>
      </w:r>
    </w:p>
  </w:footnote>
  <w:footnote w:id="56">
    <w:p w14:paraId="6906BD67" w14:textId="77777777" w:rsidR="009D73FA" w:rsidRPr="00A73618" w:rsidRDefault="009D73FA" w:rsidP="00A73618">
      <w:pPr>
        <w:pStyle w:val="FootnoteText"/>
        <w:spacing w:after="120"/>
        <w:rPr>
          <w:sz w:val="21"/>
          <w:szCs w:val="21"/>
        </w:rPr>
      </w:pPr>
      <w:r w:rsidRPr="00A73618">
        <w:rPr>
          <w:rStyle w:val="FootnoteReference"/>
          <w:sz w:val="21"/>
          <w:szCs w:val="21"/>
        </w:rPr>
        <w:footnoteRef/>
      </w:r>
      <w:r w:rsidRPr="00A73618">
        <w:rPr>
          <w:sz w:val="21"/>
          <w:szCs w:val="21"/>
        </w:rPr>
        <w:t xml:space="preserve"> Paxton v. City of Dallas, 509 S.W.3d 247, 253 (Tex. 2017).</w:t>
      </w:r>
    </w:p>
  </w:footnote>
  <w:footnote w:id="57">
    <w:p w14:paraId="429D0537" w14:textId="77777777" w:rsidR="009D73FA" w:rsidRPr="00A73618" w:rsidRDefault="009D73FA" w:rsidP="00A73618">
      <w:pPr>
        <w:pStyle w:val="FootnoteText"/>
        <w:spacing w:after="120"/>
        <w:rPr>
          <w:sz w:val="21"/>
          <w:szCs w:val="21"/>
        </w:rPr>
      </w:pPr>
      <w:r w:rsidRPr="00A73618">
        <w:rPr>
          <w:rStyle w:val="FootnoteReference"/>
          <w:sz w:val="21"/>
          <w:szCs w:val="21"/>
        </w:rPr>
        <w:footnoteRef/>
      </w:r>
      <w:r w:rsidRPr="00A73618">
        <w:rPr>
          <w:sz w:val="21"/>
          <w:szCs w:val="21"/>
        </w:rPr>
        <w:t xml:space="preserve"> Id. at 264-65.</w:t>
      </w:r>
    </w:p>
  </w:footnote>
  <w:footnote w:id="58">
    <w:p w14:paraId="1CDDDEEE" w14:textId="77777777" w:rsidR="009D73FA" w:rsidRPr="00A73618" w:rsidRDefault="009D73FA" w:rsidP="00A73618">
      <w:pPr>
        <w:pStyle w:val="FootnoteText"/>
        <w:spacing w:after="120"/>
        <w:rPr>
          <w:sz w:val="21"/>
          <w:szCs w:val="21"/>
        </w:rPr>
      </w:pPr>
      <w:r w:rsidRPr="00A73618">
        <w:rPr>
          <w:rStyle w:val="FootnoteReference"/>
          <w:sz w:val="21"/>
          <w:szCs w:val="21"/>
        </w:rPr>
        <w:footnoteRef/>
      </w:r>
      <w:r w:rsidRPr="00A73618">
        <w:rPr>
          <w:sz w:val="21"/>
          <w:szCs w:val="21"/>
        </w:rPr>
        <w:t xml:space="preserve"> Id.</w:t>
      </w:r>
    </w:p>
  </w:footnote>
  <w:footnote w:id="59">
    <w:p w14:paraId="06BE2309" w14:textId="77777777" w:rsidR="009D73FA" w:rsidRPr="00A73618" w:rsidRDefault="009D73FA" w:rsidP="00A73618">
      <w:pPr>
        <w:pStyle w:val="FootnoteText"/>
        <w:spacing w:after="120"/>
        <w:rPr>
          <w:sz w:val="21"/>
          <w:szCs w:val="21"/>
        </w:rPr>
      </w:pPr>
      <w:r w:rsidRPr="00A73618">
        <w:rPr>
          <w:rStyle w:val="FootnoteReference"/>
          <w:sz w:val="21"/>
          <w:szCs w:val="21"/>
        </w:rPr>
        <w:footnoteRef/>
      </w:r>
      <w:r w:rsidRPr="00A73618">
        <w:rPr>
          <w:sz w:val="21"/>
          <w:szCs w:val="21"/>
        </w:rPr>
        <w:t xml:space="preserve"> City of Dallas v. Abbott, 304 S.W.3d 380, 387 (Tex. 2010).</w:t>
      </w:r>
    </w:p>
  </w:footnote>
  <w:footnote w:id="60">
    <w:p w14:paraId="4752CA30" w14:textId="77777777" w:rsidR="009D73FA" w:rsidRPr="00A73618" w:rsidRDefault="009D73FA" w:rsidP="00A73618">
      <w:pPr>
        <w:pStyle w:val="FootnoteText"/>
        <w:spacing w:after="120"/>
        <w:rPr>
          <w:sz w:val="21"/>
          <w:szCs w:val="21"/>
        </w:rPr>
      </w:pPr>
      <w:r w:rsidRPr="00A73618">
        <w:rPr>
          <w:rStyle w:val="FootnoteReference"/>
          <w:sz w:val="21"/>
          <w:szCs w:val="21"/>
        </w:rPr>
        <w:footnoteRef/>
      </w:r>
      <w:r w:rsidRPr="00A73618">
        <w:rPr>
          <w:sz w:val="21"/>
          <w:szCs w:val="21"/>
        </w:rPr>
        <w:t xml:space="preserve"> Id. at 391 (J. Wainwright, dissenting)</w:t>
      </w:r>
    </w:p>
  </w:footnote>
  <w:footnote w:id="61">
    <w:p w14:paraId="1EAD7ABA" w14:textId="57CA69EA" w:rsidR="00470EF5" w:rsidRPr="00A73618" w:rsidRDefault="00470EF5" w:rsidP="00A73618">
      <w:pPr>
        <w:spacing w:after="120"/>
        <w:rPr>
          <w:sz w:val="21"/>
          <w:szCs w:val="21"/>
        </w:rPr>
      </w:pPr>
      <w:r w:rsidRPr="00A73618">
        <w:rPr>
          <w:rStyle w:val="FootnoteReference"/>
          <w:sz w:val="21"/>
          <w:szCs w:val="21"/>
        </w:rPr>
        <w:footnoteRef/>
      </w:r>
      <w:r w:rsidRPr="00A73618">
        <w:rPr>
          <w:sz w:val="21"/>
          <w:szCs w:val="21"/>
        </w:rPr>
        <w:t xml:space="preserve"> </w:t>
      </w:r>
      <w:r w:rsidR="009B0B56" w:rsidRPr="00A73618">
        <w:rPr>
          <w:rStyle w:val="small-caps"/>
          <w:smallCaps/>
          <w:sz w:val="21"/>
          <w:szCs w:val="21"/>
          <w:bdr w:val="single" w:sz="2" w:space="0" w:color="959CB6" w:frame="1"/>
          <w:shd w:val="clear" w:color="auto" w:fill="FAFAFA"/>
        </w:rPr>
        <w:t>Colo. Rev. Stat.</w:t>
      </w:r>
      <w:r w:rsidR="009B0B56" w:rsidRPr="00A73618">
        <w:rPr>
          <w:sz w:val="21"/>
          <w:szCs w:val="21"/>
          <w:shd w:val="clear" w:color="auto" w:fill="FAFAFA"/>
        </w:rPr>
        <w:t> § 24-72-203 (</w:t>
      </w:r>
      <w:r w:rsidR="009B0B56" w:rsidRPr="00A73618">
        <w:rPr>
          <w:rStyle w:val="colored-text"/>
          <w:color w:val="242B9B"/>
          <w:sz w:val="21"/>
          <w:szCs w:val="21"/>
          <w:bdr w:val="single" w:sz="2" w:space="0" w:color="959CB6" w:frame="1"/>
          <w:shd w:val="clear" w:color="auto" w:fill="FAFAFA"/>
        </w:rPr>
        <w:t>2016</w:t>
      </w:r>
      <w:r w:rsidR="009B0B56" w:rsidRPr="00A73618">
        <w:rPr>
          <w:sz w:val="21"/>
          <w:szCs w:val="21"/>
          <w:shd w:val="clear" w:color="auto" w:fill="FAFAFA"/>
        </w:rPr>
        <w:t>) states: “</w:t>
      </w:r>
      <w:r w:rsidR="009B0B56" w:rsidRPr="00A73618">
        <w:rPr>
          <w:color w:val="000000"/>
          <w:sz w:val="21"/>
          <w:szCs w:val="21"/>
          <w:shd w:val="clear" w:color="auto" w:fill="FFFFFF"/>
        </w:rPr>
        <w:t>The date and hour set for the inspection of records not readily available at the time of the request shall be within a reasonable time after the request. As used in this subsection (3), a "reasonable time" shall be presumed to be three working days or less. Such period may be extended if extenuating circumstances exist. However, such period of extension shall not exceed seven working days. A finding that extenuating circumstances exist shall be made in writing by the custodian and shall be provided to the person making the request within the three-day period.”</w:t>
      </w:r>
    </w:p>
  </w:footnote>
  <w:footnote w:id="62">
    <w:p w14:paraId="5004D2CA" w14:textId="01839336" w:rsidR="00470EF5" w:rsidRPr="00A73618" w:rsidRDefault="00470EF5" w:rsidP="00A73618">
      <w:pPr>
        <w:spacing w:after="120"/>
        <w:rPr>
          <w:sz w:val="21"/>
          <w:szCs w:val="21"/>
        </w:rPr>
      </w:pPr>
      <w:r w:rsidRPr="00A73618">
        <w:rPr>
          <w:rStyle w:val="FootnoteReference"/>
          <w:sz w:val="21"/>
          <w:szCs w:val="21"/>
        </w:rPr>
        <w:footnoteRef/>
      </w:r>
      <w:r w:rsidRPr="00A73618">
        <w:rPr>
          <w:sz w:val="21"/>
          <w:szCs w:val="21"/>
        </w:rPr>
        <w:t xml:space="preserve"> </w:t>
      </w:r>
      <w:r w:rsidR="009B0B56" w:rsidRPr="00CC17DA">
        <w:rPr>
          <w:sz w:val="21"/>
          <w:szCs w:val="21"/>
        </w:rPr>
        <w:t>“</w:t>
      </w:r>
      <w:r w:rsidR="009B0B56" w:rsidRPr="00A73618">
        <w:rPr>
          <w:color w:val="000000"/>
          <w:sz w:val="21"/>
          <w:szCs w:val="21"/>
        </w:rPr>
        <w:t xml:space="preserve">A public agency may not deny or interfere with the exercise of the right stated in subsection (a). Within a reasonable time after the request is received by the agency, the public agency shall either: (1) provide the requested copies to the person making the request; or…” </w:t>
      </w:r>
      <w:r w:rsidR="009B0B56" w:rsidRPr="00A73618">
        <w:rPr>
          <w:rStyle w:val="small-caps"/>
          <w:smallCaps/>
          <w:sz w:val="21"/>
          <w:szCs w:val="21"/>
          <w:bdr w:val="single" w:sz="2" w:space="0" w:color="959CB6" w:frame="1"/>
          <w:shd w:val="clear" w:color="auto" w:fill="FAFAFA"/>
        </w:rPr>
        <w:t>Ind. Code</w:t>
      </w:r>
      <w:r w:rsidR="009B0B56" w:rsidRPr="00A73618">
        <w:rPr>
          <w:sz w:val="21"/>
          <w:szCs w:val="21"/>
          <w:shd w:val="clear" w:color="auto" w:fill="FAFAFA"/>
        </w:rPr>
        <w:t> § 5-14-3-3(b)(1) (2019).</w:t>
      </w:r>
    </w:p>
  </w:footnote>
  <w:footnote w:id="63">
    <w:p w14:paraId="5B78417F" w14:textId="5AB9859C" w:rsidR="00470EF5" w:rsidRPr="00A73618" w:rsidRDefault="00470EF5" w:rsidP="00A73618">
      <w:pPr>
        <w:spacing w:after="120"/>
        <w:rPr>
          <w:sz w:val="21"/>
          <w:szCs w:val="21"/>
        </w:rPr>
      </w:pPr>
      <w:r w:rsidRPr="00A73618">
        <w:rPr>
          <w:rStyle w:val="FootnoteReference"/>
          <w:sz w:val="21"/>
          <w:szCs w:val="21"/>
        </w:rPr>
        <w:footnoteRef/>
      </w:r>
      <w:r w:rsidRPr="00A73618">
        <w:rPr>
          <w:sz w:val="21"/>
          <w:szCs w:val="21"/>
        </w:rPr>
        <w:t xml:space="preserve"> </w:t>
      </w:r>
      <w:r w:rsidR="009B0B56" w:rsidRPr="00CC17DA">
        <w:rPr>
          <w:i/>
          <w:iCs/>
          <w:sz w:val="21"/>
          <w:szCs w:val="21"/>
        </w:rPr>
        <w:t xml:space="preserve">See </w:t>
      </w:r>
      <w:r w:rsidR="009B0B56" w:rsidRPr="00A73618">
        <w:rPr>
          <w:rStyle w:val="small-caps"/>
          <w:smallCaps/>
          <w:sz w:val="21"/>
          <w:szCs w:val="21"/>
          <w:bdr w:val="single" w:sz="2" w:space="0" w:color="959CB6" w:frame="1"/>
          <w:shd w:val="clear" w:color="auto" w:fill="FAFAFA"/>
        </w:rPr>
        <w:t>Mont. Code Ann. </w:t>
      </w:r>
      <w:r w:rsidR="009B0B56" w:rsidRPr="00A73618">
        <w:rPr>
          <w:sz w:val="21"/>
          <w:szCs w:val="21"/>
          <w:shd w:val="clear" w:color="auto" w:fill="FAFAFA"/>
        </w:rPr>
        <w:t>§ 2-6-1006(2) (2019).</w:t>
      </w:r>
    </w:p>
  </w:footnote>
  <w:footnote w:id="64">
    <w:p w14:paraId="1220C04D" w14:textId="35B4DE75" w:rsidR="00E36938" w:rsidRPr="00A73618" w:rsidRDefault="00E36938" w:rsidP="00A73618">
      <w:pPr>
        <w:spacing w:after="120"/>
        <w:rPr>
          <w:sz w:val="21"/>
          <w:szCs w:val="21"/>
        </w:rPr>
      </w:pPr>
      <w:r w:rsidRPr="00A73618">
        <w:rPr>
          <w:rStyle w:val="FootnoteReference"/>
          <w:sz w:val="21"/>
          <w:szCs w:val="21"/>
        </w:rPr>
        <w:footnoteRef/>
      </w:r>
      <w:r w:rsidRPr="00A73618">
        <w:rPr>
          <w:sz w:val="21"/>
          <w:szCs w:val="21"/>
        </w:rPr>
        <w:t xml:space="preserve"> </w:t>
      </w:r>
      <w:r w:rsidRPr="00CC17DA">
        <w:rPr>
          <w:i/>
          <w:iCs/>
          <w:sz w:val="21"/>
          <w:szCs w:val="21"/>
        </w:rPr>
        <w:t xml:space="preserve">See </w:t>
      </w:r>
      <w:r w:rsidRPr="00A73618">
        <w:rPr>
          <w:smallCaps/>
          <w:sz w:val="21"/>
          <w:szCs w:val="21"/>
          <w:bdr w:val="single" w:sz="2" w:space="0" w:color="959CB6" w:frame="1"/>
          <w:shd w:val="clear" w:color="auto" w:fill="FAFAFA"/>
        </w:rPr>
        <w:t>Iowa Code</w:t>
      </w:r>
      <w:r w:rsidRPr="00A73618">
        <w:rPr>
          <w:sz w:val="21"/>
          <w:szCs w:val="21"/>
          <w:shd w:val="clear" w:color="auto" w:fill="FAFAFA"/>
        </w:rPr>
        <w:t> § 22.8 (</w:t>
      </w:r>
      <w:r w:rsidRPr="00A73618">
        <w:rPr>
          <w:color w:val="242B9B"/>
          <w:sz w:val="21"/>
          <w:szCs w:val="21"/>
          <w:bdr w:val="single" w:sz="2" w:space="0" w:color="959CB6" w:frame="1"/>
          <w:shd w:val="clear" w:color="auto" w:fill="FAFAFA"/>
        </w:rPr>
        <w:t>2021</w:t>
      </w:r>
      <w:r w:rsidRPr="00A73618">
        <w:rPr>
          <w:sz w:val="21"/>
          <w:szCs w:val="21"/>
          <w:shd w:val="clear" w:color="auto" w:fill="FAFAFA"/>
        </w:rPr>
        <w:t>). “</w:t>
      </w:r>
      <w:r w:rsidRPr="00A73618">
        <w:rPr>
          <w:sz w:val="21"/>
          <w:szCs w:val="21"/>
        </w:rPr>
        <w:t>Good-faith, reasonable delay by a lawful custodian in permitting the examination and copying of a government record is not a violation of this chapter…”</w:t>
      </w:r>
    </w:p>
  </w:footnote>
  <w:footnote w:id="65">
    <w:p w14:paraId="0514EA89" w14:textId="65035763" w:rsidR="00EC0552" w:rsidRPr="00A73618" w:rsidRDefault="00EC0552"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009D73FA" w:rsidRPr="00A73618">
        <w:rPr>
          <w:i/>
          <w:iCs/>
          <w:sz w:val="21"/>
          <w:szCs w:val="21"/>
        </w:rPr>
        <w:t xml:space="preserve">See </w:t>
      </w:r>
      <w:r w:rsidR="009D73FA" w:rsidRPr="00CC17DA">
        <w:rPr>
          <w:sz w:val="21"/>
          <w:szCs w:val="21"/>
        </w:rPr>
        <w:t xml:space="preserve">5 </w:t>
      </w:r>
      <w:r w:rsidR="009D73FA" w:rsidRPr="00A73618">
        <w:rPr>
          <w:smallCaps/>
          <w:sz w:val="21"/>
          <w:szCs w:val="21"/>
        </w:rPr>
        <w:t>Ill. Comp. Stat.</w:t>
      </w:r>
      <w:r w:rsidR="009D73FA" w:rsidRPr="00CC17DA">
        <w:rPr>
          <w:sz w:val="21"/>
          <w:szCs w:val="21"/>
        </w:rPr>
        <w:t xml:space="preserve"> 140</w:t>
      </w:r>
      <w:r w:rsidR="009D73FA" w:rsidRPr="00A73618">
        <w:rPr>
          <w:sz w:val="21"/>
          <w:szCs w:val="21"/>
        </w:rPr>
        <w:t xml:space="preserve"> et. seq. (2021).</w:t>
      </w:r>
    </w:p>
  </w:footnote>
  <w:footnote w:id="66">
    <w:p w14:paraId="2A7AB26F" w14:textId="7B1FCB18" w:rsidR="00EC0552" w:rsidRPr="00A73618" w:rsidRDefault="00EC0552"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009D73FA" w:rsidRPr="00A73618">
        <w:rPr>
          <w:i/>
          <w:iCs/>
          <w:sz w:val="21"/>
          <w:szCs w:val="21"/>
        </w:rPr>
        <w:t xml:space="preserve">See </w:t>
      </w:r>
      <w:r w:rsidR="009D73FA" w:rsidRPr="00CC17DA">
        <w:rPr>
          <w:smallCaps/>
          <w:sz w:val="21"/>
          <w:szCs w:val="21"/>
          <w:bdr w:val="single" w:sz="2" w:space="0" w:color="959CB6" w:frame="1"/>
          <w:shd w:val="clear" w:color="auto" w:fill="FAFAFA"/>
        </w:rPr>
        <w:t>Me. Code R.</w:t>
      </w:r>
      <w:r w:rsidR="009D73FA" w:rsidRPr="00CC17DA">
        <w:rPr>
          <w:sz w:val="21"/>
          <w:szCs w:val="21"/>
          <w:shd w:val="clear" w:color="auto" w:fill="FAFAFA"/>
        </w:rPr>
        <w:t> §</w:t>
      </w:r>
      <w:r w:rsidR="009D73FA" w:rsidRPr="00A73618">
        <w:rPr>
          <w:sz w:val="21"/>
          <w:szCs w:val="21"/>
          <w:shd w:val="clear" w:color="auto" w:fill="FAFAFA"/>
        </w:rPr>
        <w:t xml:space="preserve"> 408-3 (2021).</w:t>
      </w:r>
    </w:p>
  </w:footnote>
  <w:footnote w:id="67">
    <w:p w14:paraId="7BA3DBEE" w14:textId="24E3C73F" w:rsidR="00EC0552" w:rsidRPr="00A73618" w:rsidRDefault="00EC0552" w:rsidP="00A73618">
      <w:pPr>
        <w:spacing w:after="120"/>
        <w:rPr>
          <w:sz w:val="21"/>
          <w:szCs w:val="21"/>
        </w:rPr>
      </w:pPr>
      <w:r w:rsidRPr="00A73618">
        <w:rPr>
          <w:rStyle w:val="FootnoteReference"/>
          <w:sz w:val="21"/>
          <w:szCs w:val="21"/>
        </w:rPr>
        <w:footnoteRef/>
      </w:r>
      <w:r w:rsidRPr="00A73618">
        <w:rPr>
          <w:sz w:val="21"/>
          <w:szCs w:val="21"/>
        </w:rPr>
        <w:t xml:space="preserve"> </w:t>
      </w:r>
      <w:r w:rsidR="00CC17DA" w:rsidRPr="00CC17DA">
        <w:rPr>
          <w:i/>
          <w:iCs/>
          <w:sz w:val="21"/>
          <w:szCs w:val="21"/>
        </w:rPr>
        <w:t xml:space="preserve">See </w:t>
      </w:r>
      <w:r w:rsidR="00CC17DA" w:rsidRPr="00A73618">
        <w:rPr>
          <w:rStyle w:val="small-caps"/>
          <w:smallCaps/>
          <w:sz w:val="21"/>
          <w:szCs w:val="21"/>
          <w:bdr w:val="single" w:sz="2" w:space="0" w:color="959CB6" w:frame="1"/>
          <w:shd w:val="clear" w:color="auto" w:fill="FAFAFA"/>
        </w:rPr>
        <w:t>Nev. Rev. Stat.</w:t>
      </w:r>
      <w:r w:rsidR="00CC17DA" w:rsidRPr="00A73618">
        <w:rPr>
          <w:sz w:val="21"/>
          <w:szCs w:val="21"/>
          <w:shd w:val="clear" w:color="auto" w:fill="FAFAFA"/>
        </w:rPr>
        <w:t> § 239.0107 (2021).</w:t>
      </w:r>
    </w:p>
  </w:footnote>
  <w:footnote w:id="68">
    <w:p w14:paraId="687AA06F" w14:textId="2EDE8CDC" w:rsidR="00D5671D" w:rsidRPr="00A73618" w:rsidRDefault="00D5671D" w:rsidP="00A73618">
      <w:pPr>
        <w:spacing w:after="120"/>
        <w:rPr>
          <w:sz w:val="21"/>
          <w:szCs w:val="21"/>
        </w:rPr>
      </w:pPr>
      <w:r w:rsidRPr="00A73618">
        <w:rPr>
          <w:rStyle w:val="FootnoteReference"/>
          <w:sz w:val="21"/>
          <w:szCs w:val="21"/>
        </w:rPr>
        <w:footnoteRef/>
      </w:r>
      <w:r w:rsidRPr="00A73618">
        <w:rPr>
          <w:sz w:val="21"/>
          <w:szCs w:val="21"/>
        </w:rPr>
        <w:t xml:space="preserve"> </w:t>
      </w:r>
      <w:r w:rsidR="00CC17DA" w:rsidRPr="00CC17DA">
        <w:rPr>
          <w:i/>
          <w:iCs/>
          <w:sz w:val="21"/>
          <w:szCs w:val="21"/>
        </w:rPr>
        <w:t xml:space="preserve">See </w:t>
      </w:r>
      <w:r w:rsidR="00CC17DA" w:rsidRPr="00A73618">
        <w:rPr>
          <w:rStyle w:val="small-caps"/>
          <w:smallCaps/>
          <w:color w:val="000000"/>
          <w:sz w:val="21"/>
          <w:szCs w:val="21"/>
          <w:bdr w:val="single" w:sz="2" w:space="0" w:color="959CB6" w:frame="1"/>
          <w:shd w:val="clear" w:color="auto" w:fill="FAFAFA"/>
        </w:rPr>
        <w:t>N.H. Rev. Stat. Ann</w:t>
      </w:r>
      <w:r w:rsidR="00CC17DA" w:rsidRPr="00A73618">
        <w:rPr>
          <w:color w:val="000000"/>
          <w:sz w:val="21"/>
          <w:szCs w:val="21"/>
          <w:shd w:val="clear" w:color="auto" w:fill="FAFAFA"/>
        </w:rPr>
        <w:t>. § 91-A:4 (</w:t>
      </w:r>
      <w:r w:rsidR="00CC17DA" w:rsidRPr="00A73618">
        <w:rPr>
          <w:rStyle w:val="colored-text"/>
          <w:color w:val="242B9B"/>
          <w:sz w:val="21"/>
          <w:szCs w:val="21"/>
          <w:bdr w:val="single" w:sz="2" w:space="0" w:color="959CB6" w:frame="1"/>
          <w:shd w:val="clear" w:color="auto" w:fill="FAFAFA"/>
        </w:rPr>
        <w:t>2021</w:t>
      </w:r>
      <w:r w:rsidR="00CC17DA" w:rsidRPr="00A73618">
        <w:rPr>
          <w:color w:val="000000"/>
          <w:sz w:val="21"/>
          <w:szCs w:val="21"/>
          <w:shd w:val="clear" w:color="auto" w:fill="FAFAFA"/>
        </w:rPr>
        <w:t>).</w:t>
      </w:r>
    </w:p>
  </w:footnote>
  <w:footnote w:id="69">
    <w:p w14:paraId="42DD2824" w14:textId="1A11AE2C" w:rsidR="00D5671D" w:rsidRPr="00A73618" w:rsidRDefault="00D5671D" w:rsidP="00A73618">
      <w:pPr>
        <w:pStyle w:val="FootnoteText"/>
        <w:spacing w:after="120"/>
        <w:rPr>
          <w:i/>
          <w:iCs/>
          <w:sz w:val="21"/>
          <w:szCs w:val="21"/>
        </w:rPr>
      </w:pPr>
      <w:r w:rsidRPr="00A73618">
        <w:rPr>
          <w:rStyle w:val="FootnoteReference"/>
          <w:sz w:val="21"/>
          <w:szCs w:val="21"/>
        </w:rPr>
        <w:footnoteRef/>
      </w:r>
      <w:r w:rsidRPr="00A73618">
        <w:rPr>
          <w:sz w:val="21"/>
          <w:szCs w:val="21"/>
        </w:rPr>
        <w:t xml:space="preserve"> </w:t>
      </w:r>
      <w:r w:rsidR="00CC17DA" w:rsidRPr="00CC17DA">
        <w:rPr>
          <w:i/>
          <w:iCs/>
          <w:sz w:val="21"/>
          <w:szCs w:val="21"/>
        </w:rPr>
        <w:t xml:space="preserve">See </w:t>
      </w:r>
      <w:r w:rsidR="00CC17DA" w:rsidRPr="00A73618">
        <w:rPr>
          <w:sz w:val="21"/>
          <w:szCs w:val="21"/>
        </w:rPr>
        <w:t>N</w:t>
      </w:r>
      <w:r w:rsidR="00CC17DA" w:rsidRPr="00A73618">
        <w:rPr>
          <w:smallCaps/>
          <w:sz w:val="21"/>
          <w:szCs w:val="21"/>
          <w:bdr w:val="single" w:sz="2" w:space="0" w:color="959CB6" w:frame="1"/>
          <w:shd w:val="clear" w:color="auto" w:fill="FAFAFA"/>
        </w:rPr>
        <w:t>.Y. Pub. Off. Law </w:t>
      </w:r>
      <w:r w:rsidR="00CC17DA" w:rsidRPr="00A73618">
        <w:rPr>
          <w:sz w:val="21"/>
          <w:szCs w:val="21"/>
          <w:shd w:val="clear" w:color="auto" w:fill="FAFAFA"/>
        </w:rPr>
        <w:t xml:space="preserve">§ 89 (2021). </w:t>
      </w:r>
    </w:p>
  </w:footnote>
  <w:footnote w:id="70">
    <w:p w14:paraId="3AB37F36" w14:textId="590197D0" w:rsidR="00D5671D" w:rsidRPr="00A73618" w:rsidRDefault="00D5671D"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00CC17DA" w:rsidRPr="00CC17DA">
        <w:rPr>
          <w:i/>
          <w:iCs/>
          <w:sz w:val="21"/>
          <w:szCs w:val="21"/>
        </w:rPr>
        <w:t xml:space="preserve">See </w:t>
      </w:r>
      <w:r w:rsidR="00CC17DA" w:rsidRPr="00CC17DA">
        <w:rPr>
          <w:smallCaps/>
          <w:sz w:val="21"/>
          <w:szCs w:val="21"/>
          <w:bdr w:val="single" w:sz="2" w:space="0" w:color="959CB6" w:frame="1"/>
          <w:shd w:val="clear" w:color="auto" w:fill="FAFAFA"/>
        </w:rPr>
        <w:t>Or. Rev. Stat</w:t>
      </w:r>
      <w:r w:rsidR="00CC17DA" w:rsidRPr="00A73618">
        <w:rPr>
          <w:sz w:val="21"/>
          <w:szCs w:val="21"/>
          <w:shd w:val="clear" w:color="auto" w:fill="FAFAFA"/>
        </w:rPr>
        <w:t>. § 192.324 (</w:t>
      </w:r>
      <w:r w:rsidR="00CC17DA" w:rsidRPr="00A73618">
        <w:rPr>
          <w:color w:val="242B9B"/>
          <w:sz w:val="21"/>
          <w:szCs w:val="21"/>
          <w:bdr w:val="single" w:sz="2" w:space="0" w:color="959CB6" w:frame="1"/>
          <w:shd w:val="clear" w:color="auto" w:fill="FAFAFA"/>
        </w:rPr>
        <w:t>2021</w:t>
      </w:r>
      <w:r w:rsidR="00CC17DA" w:rsidRPr="00A73618">
        <w:rPr>
          <w:sz w:val="21"/>
          <w:szCs w:val="21"/>
          <w:shd w:val="clear" w:color="auto" w:fill="FAFAFA"/>
        </w:rPr>
        <w:t>)</w:t>
      </w:r>
      <w:r w:rsidR="00CC17DA" w:rsidRPr="00A73618">
        <w:rPr>
          <w:sz w:val="21"/>
          <w:szCs w:val="21"/>
        </w:rPr>
        <w:t>.</w:t>
      </w:r>
    </w:p>
  </w:footnote>
  <w:footnote w:id="71">
    <w:p w14:paraId="226E30F2" w14:textId="3B3399D9" w:rsidR="00D5671D" w:rsidRPr="00A73618" w:rsidRDefault="00D5671D" w:rsidP="00A73618">
      <w:pPr>
        <w:spacing w:after="120"/>
        <w:rPr>
          <w:sz w:val="21"/>
          <w:szCs w:val="21"/>
        </w:rPr>
      </w:pPr>
      <w:r w:rsidRPr="00A73618">
        <w:rPr>
          <w:rStyle w:val="FootnoteReference"/>
          <w:sz w:val="21"/>
          <w:szCs w:val="21"/>
        </w:rPr>
        <w:footnoteRef/>
      </w:r>
      <w:r w:rsidRPr="00A73618">
        <w:rPr>
          <w:sz w:val="21"/>
          <w:szCs w:val="21"/>
        </w:rPr>
        <w:t xml:space="preserve"> </w:t>
      </w:r>
      <w:r w:rsidR="00CC17DA" w:rsidRPr="00CC17DA">
        <w:rPr>
          <w:i/>
          <w:iCs/>
          <w:sz w:val="21"/>
          <w:szCs w:val="21"/>
        </w:rPr>
        <w:t>See</w:t>
      </w:r>
      <w:r w:rsidR="00CC17DA" w:rsidRPr="00CC17DA">
        <w:rPr>
          <w:rStyle w:val="colored-text"/>
          <w:color w:val="242B9B"/>
          <w:sz w:val="21"/>
          <w:szCs w:val="21"/>
          <w:bdr w:val="single" w:sz="2" w:space="0" w:color="959CB6" w:frame="1"/>
          <w:shd w:val="clear" w:color="auto" w:fill="FAFAFA"/>
        </w:rPr>
        <w:t xml:space="preserve"> 65</w:t>
      </w:r>
      <w:r w:rsidR="00CC17DA" w:rsidRPr="00A73618">
        <w:rPr>
          <w:sz w:val="21"/>
          <w:szCs w:val="21"/>
          <w:shd w:val="clear" w:color="auto" w:fill="FAFAFA"/>
        </w:rPr>
        <w:t> </w:t>
      </w:r>
      <w:r w:rsidR="00CC17DA" w:rsidRPr="00A73618">
        <w:rPr>
          <w:rStyle w:val="small-caps"/>
          <w:smallCaps/>
          <w:sz w:val="21"/>
          <w:szCs w:val="21"/>
          <w:bdr w:val="single" w:sz="2" w:space="0" w:color="959CB6" w:frame="1"/>
          <w:shd w:val="clear" w:color="auto" w:fill="FAFAFA"/>
        </w:rPr>
        <w:t>Pa. Cons. Stat.</w:t>
      </w:r>
      <w:r w:rsidR="00CC17DA" w:rsidRPr="00A73618">
        <w:rPr>
          <w:sz w:val="21"/>
          <w:szCs w:val="21"/>
          <w:shd w:val="clear" w:color="auto" w:fill="FAFAFA"/>
        </w:rPr>
        <w:t> § 67-901 (</w:t>
      </w:r>
      <w:r w:rsidR="00CC17DA" w:rsidRPr="00A73618">
        <w:rPr>
          <w:rStyle w:val="colored-text"/>
          <w:color w:val="242B9B"/>
          <w:sz w:val="21"/>
          <w:szCs w:val="21"/>
          <w:bdr w:val="single" w:sz="2" w:space="0" w:color="959CB6" w:frame="1"/>
          <w:shd w:val="clear" w:color="auto" w:fill="FAFAFA"/>
        </w:rPr>
        <w:t>2019).</w:t>
      </w:r>
    </w:p>
  </w:footnote>
  <w:footnote w:id="72">
    <w:p w14:paraId="58A00DB9" w14:textId="0A8062A2" w:rsidR="00D5671D" w:rsidRPr="00A73618" w:rsidRDefault="00D5671D" w:rsidP="00A73618">
      <w:pPr>
        <w:spacing w:after="120"/>
        <w:rPr>
          <w:sz w:val="21"/>
          <w:szCs w:val="21"/>
        </w:rPr>
      </w:pPr>
      <w:r w:rsidRPr="00A73618">
        <w:rPr>
          <w:rStyle w:val="FootnoteReference"/>
          <w:sz w:val="21"/>
          <w:szCs w:val="21"/>
        </w:rPr>
        <w:footnoteRef/>
      </w:r>
      <w:r w:rsidRPr="00A73618">
        <w:rPr>
          <w:sz w:val="21"/>
          <w:szCs w:val="21"/>
        </w:rPr>
        <w:t xml:space="preserve"> </w:t>
      </w:r>
      <w:r w:rsidR="00CC17DA" w:rsidRPr="00CC17DA">
        <w:rPr>
          <w:i/>
          <w:iCs/>
          <w:sz w:val="21"/>
          <w:szCs w:val="21"/>
        </w:rPr>
        <w:t>See</w:t>
      </w:r>
      <w:r w:rsidR="00CC17DA" w:rsidRPr="00CC17DA">
        <w:rPr>
          <w:sz w:val="21"/>
          <w:szCs w:val="21"/>
        </w:rPr>
        <w:t xml:space="preserve"> </w:t>
      </w:r>
      <w:r w:rsidR="00CC17DA" w:rsidRPr="00A73618">
        <w:rPr>
          <w:rStyle w:val="small-caps"/>
          <w:smallCaps/>
          <w:sz w:val="21"/>
          <w:szCs w:val="21"/>
          <w:bdr w:val="single" w:sz="2" w:space="0" w:color="959CB6" w:frame="1"/>
          <w:shd w:val="clear" w:color="auto" w:fill="FAFAFA"/>
        </w:rPr>
        <w:t>Va. Code Ann.</w:t>
      </w:r>
      <w:r w:rsidR="00CC17DA" w:rsidRPr="00A73618">
        <w:rPr>
          <w:sz w:val="21"/>
          <w:szCs w:val="21"/>
          <w:shd w:val="clear" w:color="auto" w:fill="FAFAFA"/>
        </w:rPr>
        <w:t> § 2.2-3704 (</w:t>
      </w:r>
      <w:r w:rsidR="00CC17DA" w:rsidRPr="00A73618">
        <w:rPr>
          <w:rStyle w:val="colored-text"/>
          <w:color w:val="242B9B"/>
          <w:sz w:val="21"/>
          <w:szCs w:val="21"/>
          <w:bdr w:val="single" w:sz="2" w:space="0" w:color="959CB6" w:frame="1"/>
          <w:shd w:val="clear" w:color="auto" w:fill="FAFAFA"/>
        </w:rPr>
        <w:t>2021).</w:t>
      </w:r>
    </w:p>
  </w:footnote>
  <w:footnote w:id="73">
    <w:p w14:paraId="1756B6D4" w14:textId="2BEE3839" w:rsidR="00D5671D" w:rsidRPr="00A73618" w:rsidRDefault="00D5671D" w:rsidP="00A73618">
      <w:pPr>
        <w:spacing w:after="120"/>
        <w:rPr>
          <w:sz w:val="21"/>
          <w:szCs w:val="21"/>
        </w:rPr>
      </w:pPr>
      <w:r w:rsidRPr="00A73618">
        <w:rPr>
          <w:rStyle w:val="FootnoteReference"/>
          <w:sz w:val="21"/>
          <w:szCs w:val="21"/>
        </w:rPr>
        <w:footnoteRef/>
      </w:r>
      <w:r w:rsidRPr="00A73618">
        <w:rPr>
          <w:sz w:val="21"/>
          <w:szCs w:val="21"/>
        </w:rPr>
        <w:t xml:space="preserve"> </w:t>
      </w:r>
      <w:r w:rsidR="00CC17DA" w:rsidRPr="00CC17DA">
        <w:rPr>
          <w:i/>
          <w:iCs/>
          <w:sz w:val="21"/>
          <w:szCs w:val="21"/>
        </w:rPr>
        <w:t xml:space="preserve">See </w:t>
      </w:r>
      <w:r w:rsidR="00CC17DA" w:rsidRPr="00A73618">
        <w:rPr>
          <w:smallCaps/>
          <w:sz w:val="21"/>
          <w:szCs w:val="21"/>
          <w:bdr w:val="single" w:sz="2" w:space="0" w:color="959CB6" w:frame="1"/>
        </w:rPr>
        <w:t>Wash. Rev. Code</w:t>
      </w:r>
      <w:r w:rsidR="00CC17DA" w:rsidRPr="00A73618">
        <w:rPr>
          <w:sz w:val="21"/>
          <w:szCs w:val="21"/>
          <w:bdr w:val="single" w:sz="2" w:space="0" w:color="959CB6" w:frame="1"/>
        </w:rPr>
        <w:t> § 42.56.520(</w:t>
      </w:r>
      <w:r w:rsidR="00CC17DA" w:rsidRPr="00A73618">
        <w:rPr>
          <w:color w:val="242B9B"/>
          <w:sz w:val="21"/>
          <w:szCs w:val="21"/>
          <w:bdr w:val="single" w:sz="2" w:space="0" w:color="959CB6" w:frame="1"/>
        </w:rPr>
        <w:t>2021</w:t>
      </w:r>
      <w:r w:rsidR="00CC17DA" w:rsidRPr="00A73618">
        <w:rPr>
          <w:sz w:val="21"/>
          <w:szCs w:val="21"/>
          <w:bdr w:val="single" w:sz="2" w:space="0" w:color="959CB6" w:frame="1"/>
        </w:rPr>
        <w:t>).</w:t>
      </w:r>
    </w:p>
  </w:footnote>
  <w:footnote w:id="74">
    <w:p w14:paraId="0CF54AD1" w14:textId="3E40D0DD" w:rsidR="00D5671D" w:rsidRPr="00A73618" w:rsidRDefault="00D5671D" w:rsidP="00A73618">
      <w:pPr>
        <w:spacing w:after="120"/>
        <w:rPr>
          <w:sz w:val="21"/>
          <w:szCs w:val="21"/>
        </w:rPr>
      </w:pPr>
      <w:r w:rsidRPr="00A73618">
        <w:rPr>
          <w:rStyle w:val="FootnoteReference"/>
          <w:sz w:val="21"/>
          <w:szCs w:val="21"/>
        </w:rPr>
        <w:footnoteRef/>
      </w:r>
      <w:r w:rsidRPr="00A73618">
        <w:rPr>
          <w:sz w:val="21"/>
          <w:szCs w:val="21"/>
        </w:rPr>
        <w:t xml:space="preserve"> </w:t>
      </w:r>
      <w:r w:rsidR="00CC17DA" w:rsidRPr="00CC17DA">
        <w:rPr>
          <w:i/>
          <w:iCs/>
          <w:sz w:val="21"/>
          <w:szCs w:val="21"/>
        </w:rPr>
        <w:t xml:space="preserve">See </w:t>
      </w:r>
      <w:r w:rsidR="00CC17DA" w:rsidRPr="00A73618">
        <w:rPr>
          <w:rStyle w:val="small-caps"/>
          <w:smallCaps/>
          <w:sz w:val="21"/>
          <w:szCs w:val="21"/>
          <w:bdr w:val="single" w:sz="2" w:space="0" w:color="959CB6" w:frame="1"/>
          <w:shd w:val="clear" w:color="auto" w:fill="FAFAFA"/>
        </w:rPr>
        <w:t>W. Va. Code</w:t>
      </w:r>
      <w:r w:rsidR="00CC17DA" w:rsidRPr="00A73618">
        <w:rPr>
          <w:sz w:val="21"/>
          <w:szCs w:val="21"/>
          <w:shd w:val="clear" w:color="auto" w:fill="FAFAFA"/>
        </w:rPr>
        <w:t> § 29B-1-3 (2021).</w:t>
      </w:r>
    </w:p>
  </w:footnote>
  <w:footnote w:id="75">
    <w:p w14:paraId="4C3D4619" w14:textId="6B548575" w:rsidR="00B67B4A" w:rsidRPr="00A73618" w:rsidRDefault="00B67B4A"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A73618">
        <w:rPr>
          <w:i/>
          <w:iCs/>
          <w:sz w:val="21"/>
          <w:szCs w:val="21"/>
        </w:rPr>
        <w:t xml:space="preserve">See, e.g., </w:t>
      </w:r>
      <w:r w:rsidRPr="00A73618">
        <w:rPr>
          <w:sz w:val="21"/>
          <w:szCs w:val="21"/>
        </w:rPr>
        <w:t xml:space="preserve">Ralph A. </w:t>
      </w:r>
      <w:proofErr w:type="spellStart"/>
      <w:r w:rsidRPr="00A73618">
        <w:rPr>
          <w:sz w:val="21"/>
          <w:szCs w:val="21"/>
        </w:rPr>
        <w:t>DeMeo</w:t>
      </w:r>
      <w:proofErr w:type="spellEnd"/>
      <w:r w:rsidRPr="00A73618">
        <w:rPr>
          <w:sz w:val="21"/>
          <w:szCs w:val="21"/>
        </w:rPr>
        <w:t xml:space="preserve"> &amp; Lauren M. </w:t>
      </w:r>
      <w:proofErr w:type="spellStart"/>
      <w:r w:rsidRPr="00A73618">
        <w:rPr>
          <w:sz w:val="21"/>
          <w:szCs w:val="21"/>
        </w:rPr>
        <w:t>DeWeil</w:t>
      </w:r>
      <w:proofErr w:type="spellEnd"/>
      <w:r w:rsidRPr="00A73618">
        <w:rPr>
          <w:sz w:val="21"/>
          <w:szCs w:val="21"/>
        </w:rPr>
        <w:t xml:space="preserve">, </w:t>
      </w:r>
      <w:r w:rsidRPr="00A73618">
        <w:rPr>
          <w:i/>
          <w:iCs/>
          <w:sz w:val="21"/>
          <w:szCs w:val="21"/>
        </w:rPr>
        <w:t xml:space="preserve">The Florida Public Records Act in the Era of Modern Technology, </w:t>
      </w:r>
      <w:r w:rsidRPr="00A73618">
        <w:rPr>
          <w:sz w:val="21"/>
          <w:szCs w:val="21"/>
        </w:rPr>
        <w:t xml:space="preserve">92 </w:t>
      </w:r>
      <w:r w:rsidRPr="00A73618">
        <w:rPr>
          <w:smallCaps/>
          <w:sz w:val="21"/>
          <w:szCs w:val="21"/>
        </w:rPr>
        <w:t>Fla. Bar J.</w:t>
      </w:r>
      <w:r w:rsidRPr="00A73618">
        <w:rPr>
          <w:sz w:val="21"/>
          <w:szCs w:val="21"/>
        </w:rPr>
        <w:t xml:space="preserve"> 33 (2018). </w:t>
      </w:r>
    </w:p>
  </w:footnote>
  <w:footnote w:id="76">
    <w:p w14:paraId="03BCC308" w14:textId="36C81E66" w:rsidR="00B67B4A" w:rsidRPr="00A73618" w:rsidRDefault="00B67B4A" w:rsidP="00A73618">
      <w:pPr>
        <w:pStyle w:val="FootnoteText"/>
        <w:spacing w:after="120"/>
        <w:rPr>
          <w:sz w:val="21"/>
          <w:szCs w:val="21"/>
        </w:rPr>
      </w:pPr>
      <w:r w:rsidRPr="00A73618">
        <w:rPr>
          <w:rStyle w:val="FootnoteReference"/>
          <w:sz w:val="21"/>
          <w:szCs w:val="21"/>
        </w:rPr>
        <w:footnoteRef/>
      </w:r>
      <w:r w:rsidRPr="00A73618">
        <w:rPr>
          <w:sz w:val="21"/>
          <w:szCs w:val="21"/>
        </w:rPr>
        <w:t xml:space="preserve"> </w:t>
      </w:r>
      <w:r w:rsidRPr="00CC17DA">
        <w:rPr>
          <w:rStyle w:val="small-caps"/>
          <w:smallCaps/>
          <w:sz w:val="21"/>
          <w:szCs w:val="21"/>
          <w:bdr w:val="single" w:sz="2" w:space="0" w:color="959CB6" w:frame="1"/>
          <w:shd w:val="clear" w:color="auto" w:fill="FAFAFA"/>
        </w:rPr>
        <w:t>Tex.</w:t>
      </w:r>
      <w:r w:rsidRPr="00A73618">
        <w:rPr>
          <w:sz w:val="21"/>
          <w:szCs w:val="21"/>
          <w:shd w:val="clear" w:color="auto" w:fill="FAFAFA"/>
        </w:rPr>
        <w:t> </w:t>
      </w:r>
      <w:r w:rsidRPr="00A73618">
        <w:rPr>
          <w:rStyle w:val="small-caps"/>
          <w:smallCaps/>
          <w:sz w:val="21"/>
          <w:szCs w:val="21"/>
          <w:bdr w:val="single" w:sz="2" w:space="0" w:color="959CB6" w:frame="1"/>
          <w:shd w:val="clear" w:color="auto" w:fill="FAFAFA"/>
        </w:rPr>
        <w:t>Gov’t. Code Ann.</w:t>
      </w:r>
      <w:r w:rsidRPr="00A73618">
        <w:rPr>
          <w:sz w:val="21"/>
          <w:szCs w:val="21"/>
          <w:shd w:val="clear" w:color="auto" w:fill="FAFAFA"/>
        </w:rPr>
        <w:t> § 552.221 (2021).</w:t>
      </w:r>
    </w:p>
  </w:footnote>
  <w:footnote w:id="77">
    <w:p w14:paraId="531ED94D" w14:textId="1A37D3D0" w:rsidR="00B67B4A" w:rsidRPr="00A73618" w:rsidRDefault="00B67B4A" w:rsidP="00A73618">
      <w:pPr>
        <w:pStyle w:val="FootnoteText"/>
        <w:spacing w:after="120"/>
        <w:rPr>
          <w:i/>
          <w:iCs/>
          <w:sz w:val="21"/>
          <w:szCs w:val="21"/>
        </w:rPr>
      </w:pPr>
      <w:r w:rsidRPr="00A73618">
        <w:rPr>
          <w:rStyle w:val="FootnoteReference"/>
          <w:sz w:val="21"/>
          <w:szCs w:val="21"/>
        </w:rPr>
        <w:footnoteRef/>
      </w:r>
      <w:r w:rsidRPr="00A73618">
        <w:rPr>
          <w:sz w:val="21"/>
          <w:szCs w:val="21"/>
        </w:rPr>
        <w:t xml:space="preserve"> </w:t>
      </w:r>
      <w:r w:rsidRPr="00A73618">
        <w:rPr>
          <w:i/>
          <w:iCs/>
          <w:sz w:val="21"/>
          <w:szCs w:val="21"/>
        </w:rPr>
        <w:t>Id.</w:t>
      </w:r>
    </w:p>
  </w:footnote>
  <w:footnote w:id="78">
    <w:p w14:paraId="678C88CF" w14:textId="0C9717C8" w:rsidR="00B67B4A" w:rsidRPr="00A73618" w:rsidRDefault="00B67B4A" w:rsidP="00A73618">
      <w:pPr>
        <w:pStyle w:val="FootnoteText"/>
        <w:spacing w:after="120"/>
        <w:rPr>
          <w:sz w:val="21"/>
          <w:szCs w:val="21"/>
        </w:rPr>
      </w:pPr>
      <w:r w:rsidRPr="00A73618">
        <w:rPr>
          <w:rStyle w:val="FootnoteReference"/>
          <w:sz w:val="21"/>
          <w:szCs w:val="21"/>
        </w:rPr>
        <w:footnoteRef/>
      </w:r>
      <w:r w:rsidRPr="00A73618">
        <w:rPr>
          <w:sz w:val="21"/>
          <w:szCs w:val="21"/>
        </w:rPr>
        <w:t xml:space="preserve"> https://www.muckrock.com/place/</w:t>
      </w:r>
    </w:p>
  </w:footnote>
  <w:footnote w:id="79">
    <w:p w14:paraId="550906D7" w14:textId="698EA90D" w:rsidR="00DA6794" w:rsidRPr="00A73618" w:rsidRDefault="00DA6794" w:rsidP="00A73618">
      <w:pPr>
        <w:spacing w:after="120"/>
        <w:rPr>
          <w:sz w:val="21"/>
          <w:szCs w:val="21"/>
        </w:rPr>
      </w:pPr>
      <w:r w:rsidRPr="00A73618">
        <w:rPr>
          <w:rStyle w:val="FootnoteReference"/>
          <w:sz w:val="21"/>
          <w:szCs w:val="21"/>
        </w:rPr>
        <w:footnoteRef/>
      </w:r>
      <w:r w:rsidRPr="00A73618">
        <w:rPr>
          <w:sz w:val="21"/>
          <w:szCs w:val="21"/>
        </w:rPr>
        <w:t xml:space="preserve"> </w:t>
      </w:r>
      <w:r w:rsidR="00B67B4A" w:rsidRPr="00A73618">
        <w:rPr>
          <w:sz w:val="21"/>
          <w:szCs w:val="21"/>
        </w:rPr>
        <w:t xml:space="preserve">H.B. 3510, 87th Leg. Sess. (Tex. 2021), available at </w:t>
      </w:r>
      <w:r w:rsidRPr="00A73618">
        <w:rPr>
          <w:sz w:val="21"/>
          <w:szCs w:val="21"/>
        </w:rPr>
        <w:t>https://capitol.texas.gov/tlodocs/87R/billtext/html/HB03015E.htm</w:t>
      </w:r>
    </w:p>
  </w:footnote>
  <w:footnote w:id="80">
    <w:p w14:paraId="2C013844" w14:textId="5E2B708D" w:rsidR="00A96005" w:rsidRPr="00A73618" w:rsidRDefault="00A96005" w:rsidP="00A73618">
      <w:pPr>
        <w:pStyle w:val="FootnoteText"/>
        <w:spacing w:after="120"/>
        <w:rPr>
          <w:sz w:val="21"/>
          <w:szCs w:val="21"/>
        </w:rPr>
      </w:pPr>
      <w:r w:rsidRPr="00A73618">
        <w:rPr>
          <w:rStyle w:val="FootnoteReference"/>
          <w:sz w:val="21"/>
          <w:szCs w:val="21"/>
        </w:rPr>
        <w:footnoteRef/>
      </w:r>
      <w:r w:rsidRPr="00A73618">
        <w:rPr>
          <w:sz w:val="21"/>
          <w:szCs w:val="21"/>
        </w:rPr>
        <w:t xml:space="preserve"> The Oregon Public Records Law conflates acknowledgement and production, saying the entity has 5 business days to either acknowledge the request or produce the records. </w:t>
      </w:r>
      <w:r w:rsidR="00B67B4A" w:rsidRPr="00A73618">
        <w:rPr>
          <w:i/>
          <w:iCs/>
          <w:sz w:val="21"/>
          <w:szCs w:val="21"/>
        </w:rPr>
        <w:t xml:space="preserve">See </w:t>
      </w:r>
      <w:r w:rsidR="00B67B4A" w:rsidRPr="00A73618">
        <w:rPr>
          <w:smallCaps/>
          <w:sz w:val="21"/>
          <w:szCs w:val="21"/>
          <w:bdr w:val="single" w:sz="2" w:space="0" w:color="959CB6" w:frame="1"/>
          <w:shd w:val="clear" w:color="auto" w:fill="FAFAFA"/>
        </w:rPr>
        <w:t>Or. Rev. Stat</w:t>
      </w:r>
      <w:r w:rsidR="00B67B4A" w:rsidRPr="00A73618">
        <w:rPr>
          <w:sz w:val="21"/>
          <w:szCs w:val="21"/>
          <w:shd w:val="clear" w:color="auto" w:fill="FAFAFA"/>
        </w:rPr>
        <w:t>. § 192.324(a)(2) (</w:t>
      </w:r>
      <w:r w:rsidR="00B67B4A" w:rsidRPr="00A73618">
        <w:rPr>
          <w:color w:val="242B9B"/>
          <w:sz w:val="21"/>
          <w:szCs w:val="21"/>
          <w:bdr w:val="single" w:sz="2" w:space="0" w:color="959CB6" w:frame="1"/>
          <w:shd w:val="clear" w:color="auto" w:fill="FAFAFA"/>
        </w:rPr>
        <w:t>2021</w:t>
      </w:r>
      <w:r w:rsidR="00B67B4A" w:rsidRPr="00A73618">
        <w:rPr>
          <w:sz w:val="21"/>
          <w:szCs w:val="21"/>
          <w:shd w:val="clear" w:color="auto" w:fill="FAFAFA"/>
        </w:rPr>
        <w:t>)</w:t>
      </w:r>
      <w:r w:rsidR="00B67B4A" w:rsidRPr="00A73618">
        <w:rPr>
          <w:sz w:val="21"/>
          <w:szCs w:val="21"/>
        </w:rPr>
        <w:t>.</w:t>
      </w:r>
    </w:p>
  </w:footnote>
  <w:footnote w:id="81">
    <w:p w14:paraId="500361C3" w14:textId="4389C270" w:rsidR="00A96005" w:rsidRPr="00A73618" w:rsidRDefault="00A96005" w:rsidP="00A73618">
      <w:pPr>
        <w:spacing w:after="120"/>
        <w:rPr>
          <w:sz w:val="21"/>
          <w:szCs w:val="21"/>
        </w:rPr>
      </w:pPr>
      <w:r w:rsidRPr="00A73618">
        <w:rPr>
          <w:rStyle w:val="FootnoteReference"/>
          <w:sz w:val="21"/>
          <w:szCs w:val="21"/>
        </w:rPr>
        <w:footnoteRef/>
      </w:r>
      <w:r w:rsidRPr="00A73618">
        <w:rPr>
          <w:sz w:val="21"/>
          <w:szCs w:val="21"/>
        </w:rPr>
        <w:t xml:space="preserve"> </w:t>
      </w:r>
      <w:proofErr w:type="gramStart"/>
      <w:r w:rsidR="00B67B4A" w:rsidRPr="00A73618">
        <w:rPr>
          <w:i/>
          <w:iCs/>
          <w:sz w:val="21"/>
          <w:szCs w:val="21"/>
        </w:rPr>
        <w:t xml:space="preserve">See </w:t>
      </w:r>
      <w:r w:rsidR="00B67B4A" w:rsidRPr="00A73618">
        <w:rPr>
          <w:rStyle w:val="colored-text"/>
          <w:color w:val="242B9B"/>
          <w:sz w:val="21"/>
          <w:szCs w:val="21"/>
          <w:bdr w:val="single" w:sz="2" w:space="0" w:color="959CB6" w:frame="1"/>
          <w:shd w:val="clear" w:color="auto" w:fill="FAFAFA"/>
        </w:rPr>
        <w:t xml:space="preserve"> 65</w:t>
      </w:r>
      <w:proofErr w:type="gramEnd"/>
      <w:r w:rsidR="00B67B4A" w:rsidRPr="00A73618">
        <w:rPr>
          <w:sz w:val="21"/>
          <w:szCs w:val="21"/>
          <w:shd w:val="clear" w:color="auto" w:fill="FAFAFA"/>
        </w:rPr>
        <w:t> </w:t>
      </w:r>
      <w:r w:rsidR="00B67B4A" w:rsidRPr="00A73618">
        <w:rPr>
          <w:rStyle w:val="small-caps"/>
          <w:smallCaps/>
          <w:sz w:val="21"/>
          <w:szCs w:val="21"/>
          <w:bdr w:val="single" w:sz="2" w:space="0" w:color="959CB6" w:frame="1"/>
          <w:shd w:val="clear" w:color="auto" w:fill="FAFAFA"/>
        </w:rPr>
        <w:t>Pa. Cons. Stat.</w:t>
      </w:r>
      <w:r w:rsidR="00B67B4A" w:rsidRPr="00A73618">
        <w:rPr>
          <w:sz w:val="21"/>
          <w:szCs w:val="21"/>
          <w:shd w:val="clear" w:color="auto" w:fill="FAFAFA"/>
        </w:rPr>
        <w:t> § 67-901 (</w:t>
      </w:r>
      <w:r w:rsidR="00B67B4A" w:rsidRPr="00A73618">
        <w:rPr>
          <w:rStyle w:val="colored-text"/>
          <w:color w:val="242B9B"/>
          <w:sz w:val="21"/>
          <w:szCs w:val="21"/>
          <w:bdr w:val="single" w:sz="2" w:space="0" w:color="959CB6" w:frame="1"/>
          <w:shd w:val="clear" w:color="auto" w:fill="FAFAFA"/>
        </w:rPr>
        <w:t>2019).</w:t>
      </w:r>
    </w:p>
  </w:footnote>
  <w:footnote w:id="82">
    <w:p w14:paraId="760E6414" w14:textId="16F52E23" w:rsidR="00C82A5E" w:rsidRPr="00A73618" w:rsidRDefault="00C82A5E" w:rsidP="00A73618">
      <w:pPr>
        <w:spacing w:after="120"/>
        <w:rPr>
          <w:sz w:val="21"/>
          <w:szCs w:val="21"/>
        </w:rPr>
      </w:pPr>
      <w:r w:rsidRPr="00A73618">
        <w:rPr>
          <w:rStyle w:val="FootnoteReference"/>
          <w:sz w:val="21"/>
          <w:szCs w:val="21"/>
        </w:rPr>
        <w:footnoteRef/>
      </w:r>
      <w:r w:rsidRPr="00A73618">
        <w:rPr>
          <w:sz w:val="21"/>
          <w:szCs w:val="21"/>
        </w:rPr>
        <w:t xml:space="preserve"> “</w:t>
      </w:r>
      <w:r w:rsidRPr="00A73618">
        <w:rPr>
          <w:color w:val="333333"/>
          <w:sz w:val="21"/>
          <w:szCs w:val="21"/>
          <w:shd w:val="clear" w:color="auto" w:fill="F2EFE5"/>
        </w:rPr>
        <w:t xml:space="preserve">A custodian or head of the agency who fails to comply with the applicable time limit provisions of this section shall be deemed to have denied the request or the appeal upon the expiration of the time limit.” </w:t>
      </w:r>
      <w:r w:rsidR="00B67B4A" w:rsidRPr="00A73618">
        <w:rPr>
          <w:rStyle w:val="small-caps"/>
          <w:smallCaps/>
          <w:sz w:val="21"/>
          <w:szCs w:val="21"/>
          <w:bdr w:val="single" w:sz="2" w:space="0" w:color="959CB6" w:frame="1"/>
          <w:shd w:val="clear" w:color="auto" w:fill="FAFAFA"/>
        </w:rPr>
        <w:t>Vt. Stat. Ann.</w:t>
      </w:r>
      <w:r w:rsidR="00B67B4A" w:rsidRPr="00A73618">
        <w:rPr>
          <w:sz w:val="21"/>
          <w:szCs w:val="21"/>
          <w:shd w:val="clear" w:color="auto" w:fill="FAFAFA"/>
        </w:rPr>
        <w:t> tit. 1, § 318 (2021).</w:t>
      </w:r>
    </w:p>
  </w:footnote>
  <w:footnote w:id="83">
    <w:p w14:paraId="3D3977A7" w14:textId="1B12B379" w:rsidR="00B67B4A" w:rsidRPr="00A73618" w:rsidRDefault="00B67B4A" w:rsidP="00A73618">
      <w:pPr>
        <w:pStyle w:val="FootnoteText"/>
        <w:spacing w:after="120"/>
        <w:rPr>
          <w:sz w:val="21"/>
          <w:szCs w:val="21"/>
        </w:rPr>
      </w:pPr>
      <w:r w:rsidRPr="00A73618">
        <w:rPr>
          <w:rStyle w:val="FootnoteReference"/>
          <w:sz w:val="21"/>
          <w:szCs w:val="21"/>
        </w:rPr>
        <w:footnoteRef/>
      </w:r>
      <w:r w:rsidRPr="00A73618">
        <w:rPr>
          <w:sz w:val="21"/>
          <w:szCs w:val="21"/>
        </w:rPr>
        <w:t xml:space="preserve"> https://portal.ct.gov/FOI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039"/>
    <w:multiLevelType w:val="hybridMultilevel"/>
    <w:tmpl w:val="107A5C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94036"/>
    <w:multiLevelType w:val="hybridMultilevel"/>
    <w:tmpl w:val="C9124542"/>
    <w:lvl w:ilvl="0" w:tplc="84F2D2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0D"/>
    <w:rsid w:val="000251EA"/>
    <w:rsid w:val="002625B5"/>
    <w:rsid w:val="003B5585"/>
    <w:rsid w:val="003C4960"/>
    <w:rsid w:val="00470EF5"/>
    <w:rsid w:val="004F7FA3"/>
    <w:rsid w:val="005E4F9E"/>
    <w:rsid w:val="005E7BC5"/>
    <w:rsid w:val="0066359E"/>
    <w:rsid w:val="00794395"/>
    <w:rsid w:val="007F272B"/>
    <w:rsid w:val="008141DC"/>
    <w:rsid w:val="009049C6"/>
    <w:rsid w:val="0094136F"/>
    <w:rsid w:val="009616BD"/>
    <w:rsid w:val="009B0B56"/>
    <w:rsid w:val="009D73FA"/>
    <w:rsid w:val="009F6858"/>
    <w:rsid w:val="00A73618"/>
    <w:rsid w:val="00A96005"/>
    <w:rsid w:val="00AD1641"/>
    <w:rsid w:val="00AF1601"/>
    <w:rsid w:val="00B328F5"/>
    <w:rsid w:val="00B53C0D"/>
    <w:rsid w:val="00B67B4A"/>
    <w:rsid w:val="00B77BBE"/>
    <w:rsid w:val="00BB1081"/>
    <w:rsid w:val="00C82A5E"/>
    <w:rsid w:val="00C911BB"/>
    <w:rsid w:val="00CC17DA"/>
    <w:rsid w:val="00CD2511"/>
    <w:rsid w:val="00D2439A"/>
    <w:rsid w:val="00D5671D"/>
    <w:rsid w:val="00D6278B"/>
    <w:rsid w:val="00DA6794"/>
    <w:rsid w:val="00DD0AEC"/>
    <w:rsid w:val="00E36938"/>
    <w:rsid w:val="00EC0552"/>
    <w:rsid w:val="00EC6349"/>
    <w:rsid w:val="00F01F4D"/>
    <w:rsid w:val="00F34B07"/>
    <w:rsid w:val="00FF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5B3F"/>
  <w15:chartTrackingRefBased/>
  <w15:docId w15:val="{524ECF7F-4B3C-364F-9A6C-D0C3B5FC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B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5585"/>
    <w:rPr>
      <w:sz w:val="20"/>
      <w:szCs w:val="20"/>
    </w:rPr>
  </w:style>
  <w:style w:type="character" w:customStyle="1" w:styleId="FootnoteTextChar">
    <w:name w:val="Footnote Text Char"/>
    <w:basedOn w:val="DefaultParagraphFont"/>
    <w:link w:val="FootnoteText"/>
    <w:uiPriority w:val="99"/>
    <w:rsid w:val="003B5585"/>
    <w:rPr>
      <w:sz w:val="20"/>
      <w:szCs w:val="20"/>
    </w:rPr>
  </w:style>
  <w:style w:type="character" w:styleId="FootnoteReference">
    <w:name w:val="footnote reference"/>
    <w:basedOn w:val="DefaultParagraphFont"/>
    <w:uiPriority w:val="99"/>
    <w:semiHidden/>
    <w:unhideWhenUsed/>
    <w:rsid w:val="003B5585"/>
    <w:rPr>
      <w:vertAlign w:val="superscript"/>
    </w:rPr>
  </w:style>
  <w:style w:type="character" w:customStyle="1" w:styleId="apple-converted-space">
    <w:name w:val="apple-converted-space"/>
    <w:basedOn w:val="DefaultParagraphFont"/>
    <w:rsid w:val="003B5585"/>
  </w:style>
  <w:style w:type="paragraph" w:styleId="ListParagraph">
    <w:name w:val="List Paragraph"/>
    <w:basedOn w:val="Normal"/>
    <w:uiPriority w:val="34"/>
    <w:qFormat/>
    <w:rsid w:val="00BB1081"/>
    <w:pPr>
      <w:ind w:left="720"/>
      <w:contextualSpacing/>
    </w:pPr>
  </w:style>
  <w:style w:type="character" w:styleId="CommentReference">
    <w:name w:val="annotation reference"/>
    <w:basedOn w:val="DefaultParagraphFont"/>
    <w:uiPriority w:val="99"/>
    <w:semiHidden/>
    <w:unhideWhenUsed/>
    <w:rsid w:val="00BB1081"/>
    <w:rPr>
      <w:sz w:val="16"/>
      <w:szCs w:val="16"/>
    </w:rPr>
  </w:style>
  <w:style w:type="paragraph" w:styleId="CommentText">
    <w:name w:val="annotation text"/>
    <w:basedOn w:val="Normal"/>
    <w:link w:val="CommentTextChar"/>
    <w:uiPriority w:val="99"/>
    <w:semiHidden/>
    <w:unhideWhenUsed/>
    <w:rsid w:val="00BB1081"/>
    <w:rPr>
      <w:sz w:val="20"/>
      <w:szCs w:val="20"/>
    </w:rPr>
  </w:style>
  <w:style w:type="character" w:customStyle="1" w:styleId="CommentTextChar">
    <w:name w:val="Comment Text Char"/>
    <w:basedOn w:val="DefaultParagraphFont"/>
    <w:link w:val="CommentText"/>
    <w:uiPriority w:val="99"/>
    <w:semiHidden/>
    <w:rsid w:val="00BB1081"/>
    <w:rPr>
      <w:sz w:val="20"/>
      <w:szCs w:val="20"/>
    </w:rPr>
  </w:style>
  <w:style w:type="paragraph" w:styleId="CommentSubject">
    <w:name w:val="annotation subject"/>
    <w:basedOn w:val="CommentText"/>
    <w:next w:val="CommentText"/>
    <w:link w:val="CommentSubjectChar"/>
    <w:uiPriority w:val="99"/>
    <w:semiHidden/>
    <w:unhideWhenUsed/>
    <w:rsid w:val="00BB1081"/>
    <w:rPr>
      <w:b/>
      <w:bCs/>
    </w:rPr>
  </w:style>
  <w:style w:type="character" w:customStyle="1" w:styleId="CommentSubjectChar">
    <w:name w:val="Comment Subject Char"/>
    <w:basedOn w:val="CommentTextChar"/>
    <w:link w:val="CommentSubject"/>
    <w:uiPriority w:val="99"/>
    <w:semiHidden/>
    <w:rsid w:val="00BB1081"/>
    <w:rPr>
      <w:b/>
      <w:bCs/>
      <w:sz w:val="20"/>
      <w:szCs w:val="20"/>
    </w:rPr>
  </w:style>
  <w:style w:type="character" w:customStyle="1" w:styleId="small-caps">
    <w:name w:val="small-caps"/>
    <w:basedOn w:val="DefaultParagraphFont"/>
    <w:rsid w:val="007F272B"/>
  </w:style>
  <w:style w:type="character" w:customStyle="1" w:styleId="colored-text">
    <w:name w:val="colored-text"/>
    <w:basedOn w:val="DefaultParagraphFont"/>
    <w:rsid w:val="007F272B"/>
  </w:style>
  <w:style w:type="character" w:customStyle="1" w:styleId="text-black-100">
    <w:name w:val="text-black-100"/>
    <w:basedOn w:val="DefaultParagraphFont"/>
    <w:rsid w:val="009049C6"/>
  </w:style>
  <w:style w:type="paragraph" w:styleId="NormalWeb">
    <w:name w:val="Normal (Web)"/>
    <w:basedOn w:val="Normal"/>
    <w:uiPriority w:val="99"/>
    <w:semiHidden/>
    <w:unhideWhenUsed/>
    <w:rsid w:val="009B0B56"/>
    <w:pPr>
      <w:spacing w:before="100" w:beforeAutospacing="1" w:after="100" w:afterAutospacing="1"/>
    </w:pPr>
  </w:style>
  <w:style w:type="character" w:customStyle="1" w:styleId="px-2">
    <w:name w:val="px-2"/>
    <w:basedOn w:val="DefaultParagraphFont"/>
    <w:rsid w:val="00CC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1167">
      <w:bodyDiv w:val="1"/>
      <w:marLeft w:val="0"/>
      <w:marRight w:val="0"/>
      <w:marTop w:val="0"/>
      <w:marBottom w:val="0"/>
      <w:divBdr>
        <w:top w:val="none" w:sz="0" w:space="0" w:color="auto"/>
        <w:left w:val="none" w:sz="0" w:space="0" w:color="auto"/>
        <w:bottom w:val="none" w:sz="0" w:space="0" w:color="auto"/>
        <w:right w:val="none" w:sz="0" w:space="0" w:color="auto"/>
      </w:divBdr>
    </w:div>
    <w:div w:id="260259053">
      <w:bodyDiv w:val="1"/>
      <w:marLeft w:val="0"/>
      <w:marRight w:val="0"/>
      <w:marTop w:val="0"/>
      <w:marBottom w:val="0"/>
      <w:divBdr>
        <w:top w:val="none" w:sz="0" w:space="0" w:color="auto"/>
        <w:left w:val="none" w:sz="0" w:space="0" w:color="auto"/>
        <w:bottom w:val="none" w:sz="0" w:space="0" w:color="auto"/>
        <w:right w:val="none" w:sz="0" w:space="0" w:color="auto"/>
      </w:divBdr>
    </w:div>
    <w:div w:id="301620778">
      <w:bodyDiv w:val="1"/>
      <w:marLeft w:val="0"/>
      <w:marRight w:val="0"/>
      <w:marTop w:val="0"/>
      <w:marBottom w:val="0"/>
      <w:divBdr>
        <w:top w:val="none" w:sz="0" w:space="0" w:color="auto"/>
        <w:left w:val="none" w:sz="0" w:space="0" w:color="auto"/>
        <w:bottom w:val="none" w:sz="0" w:space="0" w:color="auto"/>
        <w:right w:val="none" w:sz="0" w:space="0" w:color="auto"/>
      </w:divBdr>
    </w:div>
    <w:div w:id="310212670">
      <w:bodyDiv w:val="1"/>
      <w:marLeft w:val="0"/>
      <w:marRight w:val="0"/>
      <w:marTop w:val="0"/>
      <w:marBottom w:val="0"/>
      <w:divBdr>
        <w:top w:val="none" w:sz="0" w:space="0" w:color="auto"/>
        <w:left w:val="none" w:sz="0" w:space="0" w:color="auto"/>
        <w:bottom w:val="none" w:sz="0" w:space="0" w:color="auto"/>
        <w:right w:val="none" w:sz="0" w:space="0" w:color="auto"/>
      </w:divBdr>
    </w:div>
    <w:div w:id="334263298">
      <w:bodyDiv w:val="1"/>
      <w:marLeft w:val="0"/>
      <w:marRight w:val="0"/>
      <w:marTop w:val="0"/>
      <w:marBottom w:val="0"/>
      <w:divBdr>
        <w:top w:val="none" w:sz="0" w:space="0" w:color="auto"/>
        <w:left w:val="none" w:sz="0" w:space="0" w:color="auto"/>
        <w:bottom w:val="none" w:sz="0" w:space="0" w:color="auto"/>
        <w:right w:val="none" w:sz="0" w:space="0" w:color="auto"/>
      </w:divBdr>
    </w:div>
    <w:div w:id="424888332">
      <w:bodyDiv w:val="1"/>
      <w:marLeft w:val="0"/>
      <w:marRight w:val="0"/>
      <w:marTop w:val="0"/>
      <w:marBottom w:val="0"/>
      <w:divBdr>
        <w:top w:val="none" w:sz="0" w:space="0" w:color="auto"/>
        <w:left w:val="none" w:sz="0" w:space="0" w:color="auto"/>
        <w:bottom w:val="none" w:sz="0" w:space="0" w:color="auto"/>
        <w:right w:val="none" w:sz="0" w:space="0" w:color="auto"/>
      </w:divBdr>
    </w:div>
    <w:div w:id="430006694">
      <w:bodyDiv w:val="1"/>
      <w:marLeft w:val="0"/>
      <w:marRight w:val="0"/>
      <w:marTop w:val="0"/>
      <w:marBottom w:val="0"/>
      <w:divBdr>
        <w:top w:val="none" w:sz="0" w:space="0" w:color="auto"/>
        <w:left w:val="none" w:sz="0" w:space="0" w:color="auto"/>
        <w:bottom w:val="none" w:sz="0" w:space="0" w:color="auto"/>
        <w:right w:val="none" w:sz="0" w:space="0" w:color="auto"/>
      </w:divBdr>
    </w:div>
    <w:div w:id="446000817">
      <w:bodyDiv w:val="1"/>
      <w:marLeft w:val="0"/>
      <w:marRight w:val="0"/>
      <w:marTop w:val="0"/>
      <w:marBottom w:val="0"/>
      <w:divBdr>
        <w:top w:val="none" w:sz="0" w:space="0" w:color="auto"/>
        <w:left w:val="none" w:sz="0" w:space="0" w:color="auto"/>
        <w:bottom w:val="none" w:sz="0" w:space="0" w:color="auto"/>
        <w:right w:val="none" w:sz="0" w:space="0" w:color="auto"/>
      </w:divBdr>
    </w:div>
    <w:div w:id="480079232">
      <w:bodyDiv w:val="1"/>
      <w:marLeft w:val="0"/>
      <w:marRight w:val="0"/>
      <w:marTop w:val="0"/>
      <w:marBottom w:val="0"/>
      <w:divBdr>
        <w:top w:val="none" w:sz="0" w:space="0" w:color="auto"/>
        <w:left w:val="none" w:sz="0" w:space="0" w:color="auto"/>
        <w:bottom w:val="none" w:sz="0" w:space="0" w:color="auto"/>
        <w:right w:val="none" w:sz="0" w:space="0" w:color="auto"/>
      </w:divBdr>
    </w:div>
    <w:div w:id="544954172">
      <w:bodyDiv w:val="1"/>
      <w:marLeft w:val="0"/>
      <w:marRight w:val="0"/>
      <w:marTop w:val="0"/>
      <w:marBottom w:val="0"/>
      <w:divBdr>
        <w:top w:val="none" w:sz="0" w:space="0" w:color="auto"/>
        <w:left w:val="none" w:sz="0" w:space="0" w:color="auto"/>
        <w:bottom w:val="none" w:sz="0" w:space="0" w:color="auto"/>
        <w:right w:val="none" w:sz="0" w:space="0" w:color="auto"/>
      </w:divBdr>
    </w:div>
    <w:div w:id="559093934">
      <w:bodyDiv w:val="1"/>
      <w:marLeft w:val="0"/>
      <w:marRight w:val="0"/>
      <w:marTop w:val="0"/>
      <w:marBottom w:val="0"/>
      <w:divBdr>
        <w:top w:val="none" w:sz="0" w:space="0" w:color="auto"/>
        <w:left w:val="none" w:sz="0" w:space="0" w:color="auto"/>
        <w:bottom w:val="none" w:sz="0" w:space="0" w:color="auto"/>
        <w:right w:val="none" w:sz="0" w:space="0" w:color="auto"/>
      </w:divBdr>
    </w:div>
    <w:div w:id="563685933">
      <w:bodyDiv w:val="1"/>
      <w:marLeft w:val="0"/>
      <w:marRight w:val="0"/>
      <w:marTop w:val="0"/>
      <w:marBottom w:val="0"/>
      <w:divBdr>
        <w:top w:val="none" w:sz="0" w:space="0" w:color="auto"/>
        <w:left w:val="none" w:sz="0" w:space="0" w:color="auto"/>
        <w:bottom w:val="none" w:sz="0" w:space="0" w:color="auto"/>
        <w:right w:val="none" w:sz="0" w:space="0" w:color="auto"/>
      </w:divBdr>
    </w:div>
    <w:div w:id="568350277">
      <w:bodyDiv w:val="1"/>
      <w:marLeft w:val="0"/>
      <w:marRight w:val="0"/>
      <w:marTop w:val="0"/>
      <w:marBottom w:val="0"/>
      <w:divBdr>
        <w:top w:val="none" w:sz="0" w:space="0" w:color="auto"/>
        <w:left w:val="none" w:sz="0" w:space="0" w:color="auto"/>
        <w:bottom w:val="none" w:sz="0" w:space="0" w:color="auto"/>
        <w:right w:val="none" w:sz="0" w:space="0" w:color="auto"/>
      </w:divBdr>
    </w:div>
    <w:div w:id="628974508">
      <w:bodyDiv w:val="1"/>
      <w:marLeft w:val="0"/>
      <w:marRight w:val="0"/>
      <w:marTop w:val="0"/>
      <w:marBottom w:val="0"/>
      <w:divBdr>
        <w:top w:val="none" w:sz="0" w:space="0" w:color="auto"/>
        <w:left w:val="none" w:sz="0" w:space="0" w:color="auto"/>
        <w:bottom w:val="none" w:sz="0" w:space="0" w:color="auto"/>
        <w:right w:val="none" w:sz="0" w:space="0" w:color="auto"/>
      </w:divBdr>
    </w:div>
    <w:div w:id="777874931">
      <w:bodyDiv w:val="1"/>
      <w:marLeft w:val="0"/>
      <w:marRight w:val="0"/>
      <w:marTop w:val="0"/>
      <w:marBottom w:val="0"/>
      <w:divBdr>
        <w:top w:val="none" w:sz="0" w:space="0" w:color="auto"/>
        <w:left w:val="none" w:sz="0" w:space="0" w:color="auto"/>
        <w:bottom w:val="none" w:sz="0" w:space="0" w:color="auto"/>
        <w:right w:val="none" w:sz="0" w:space="0" w:color="auto"/>
      </w:divBdr>
    </w:div>
    <w:div w:id="859903096">
      <w:bodyDiv w:val="1"/>
      <w:marLeft w:val="0"/>
      <w:marRight w:val="0"/>
      <w:marTop w:val="0"/>
      <w:marBottom w:val="0"/>
      <w:divBdr>
        <w:top w:val="none" w:sz="0" w:space="0" w:color="auto"/>
        <w:left w:val="none" w:sz="0" w:space="0" w:color="auto"/>
        <w:bottom w:val="none" w:sz="0" w:space="0" w:color="auto"/>
        <w:right w:val="none" w:sz="0" w:space="0" w:color="auto"/>
      </w:divBdr>
    </w:div>
    <w:div w:id="878592341">
      <w:bodyDiv w:val="1"/>
      <w:marLeft w:val="0"/>
      <w:marRight w:val="0"/>
      <w:marTop w:val="0"/>
      <w:marBottom w:val="0"/>
      <w:divBdr>
        <w:top w:val="none" w:sz="0" w:space="0" w:color="auto"/>
        <w:left w:val="none" w:sz="0" w:space="0" w:color="auto"/>
        <w:bottom w:val="none" w:sz="0" w:space="0" w:color="auto"/>
        <w:right w:val="none" w:sz="0" w:space="0" w:color="auto"/>
      </w:divBdr>
    </w:div>
    <w:div w:id="962157504">
      <w:bodyDiv w:val="1"/>
      <w:marLeft w:val="0"/>
      <w:marRight w:val="0"/>
      <w:marTop w:val="0"/>
      <w:marBottom w:val="0"/>
      <w:divBdr>
        <w:top w:val="none" w:sz="0" w:space="0" w:color="auto"/>
        <w:left w:val="none" w:sz="0" w:space="0" w:color="auto"/>
        <w:bottom w:val="none" w:sz="0" w:space="0" w:color="auto"/>
        <w:right w:val="none" w:sz="0" w:space="0" w:color="auto"/>
      </w:divBdr>
    </w:div>
    <w:div w:id="1090077694">
      <w:bodyDiv w:val="1"/>
      <w:marLeft w:val="0"/>
      <w:marRight w:val="0"/>
      <w:marTop w:val="0"/>
      <w:marBottom w:val="0"/>
      <w:divBdr>
        <w:top w:val="none" w:sz="0" w:space="0" w:color="auto"/>
        <w:left w:val="none" w:sz="0" w:space="0" w:color="auto"/>
        <w:bottom w:val="none" w:sz="0" w:space="0" w:color="auto"/>
        <w:right w:val="none" w:sz="0" w:space="0" w:color="auto"/>
      </w:divBdr>
    </w:div>
    <w:div w:id="1128090391">
      <w:bodyDiv w:val="1"/>
      <w:marLeft w:val="0"/>
      <w:marRight w:val="0"/>
      <w:marTop w:val="0"/>
      <w:marBottom w:val="0"/>
      <w:divBdr>
        <w:top w:val="none" w:sz="0" w:space="0" w:color="auto"/>
        <w:left w:val="none" w:sz="0" w:space="0" w:color="auto"/>
        <w:bottom w:val="none" w:sz="0" w:space="0" w:color="auto"/>
        <w:right w:val="none" w:sz="0" w:space="0" w:color="auto"/>
      </w:divBdr>
    </w:div>
    <w:div w:id="1151214882">
      <w:bodyDiv w:val="1"/>
      <w:marLeft w:val="0"/>
      <w:marRight w:val="0"/>
      <w:marTop w:val="0"/>
      <w:marBottom w:val="0"/>
      <w:divBdr>
        <w:top w:val="none" w:sz="0" w:space="0" w:color="auto"/>
        <w:left w:val="none" w:sz="0" w:space="0" w:color="auto"/>
        <w:bottom w:val="none" w:sz="0" w:space="0" w:color="auto"/>
        <w:right w:val="none" w:sz="0" w:space="0" w:color="auto"/>
      </w:divBdr>
    </w:div>
    <w:div w:id="1159806139">
      <w:bodyDiv w:val="1"/>
      <w:marLeft w:val="0"/>
      <w:marRight w:val="0"/>
      <w:marTop w:val="0"/>
      <w:marBottom w:val="0"/>
      <w:divBdr>
        <w:top w:val="none" w:sz="0" w:space="0" w:color="auto"/>
        <w:left w:val="none" w:sz="0" w:space="0" w:color="auto"/>
        <w:bottom w:val="none" w:sz="0" w:space="0" w:color="auto"/>
        <w:right w:val="none" w:sz="0" w:space="0" w:color="auto"/>
      </w:divBdr>
    </w:div>
    <w:div w:id="1224633774">
      <w:bodyDiv w:val="1"/>
      <w:marLeft w:val="0"/>
      <w:marRight w:val="0"/>
      <w:marTop w:val="0"/>
      <w:marBottom w:val="0"/>
      <w:divBdr>
        <w:top w:val="none" w:sz="0" w:space="0" w:color="auto"/>
        <w:left w:val="none" w:sz="0" w:space="0" w:color="auto"/>
        <w:bottom w:val="none" w:sz="0" w:space="0" w:color="auto"/>
        <w:right w:val="none" w:sz="0" w:space="0" w:color="auto"/>
      </w:divBdr>
    </w:div>
    <w:div w:id="1273048022">
      <w:bodyDiv w:val="1"/>
      <w:marLeft w:val="0"/>
      <w:marRight w:val="0"/>
      <w:marTop w:val="0"/>
      <w:marBottom w:val="0"/>
      <w:divBdr>
        <w:top w:val="none" w:sz="0" w:space="0" w:color="auto"/>
        <w:left w:val="none" w:sz="0" w:space="0" w:color="auto"/>
        <w:bottom w:val="none" w:sz="0" w:space="0" w:color="auto"/>
        <w:right w:val="none" w:sz="0" w:space="0" w:color="auto"/>
      </w:divBdr>
    </w:div>
    <w:div w:id="1275557289">
      <w:bodyDiv w:val="1"/>
      <w:marLeft w:val="0"/>
      <w:marRight w:val="0"/>
      <w:marTop w:val="0"/>
      <w:marBottom w:val="0"/>
      <w:divBdr>
        <w:top w:val="none" w:sz="0" w:space="0" w:color="auto"/>
        <w:left w:val="none" w:sz="0" w:space="0" w:color="auto"/>
        <w:bottom w:val="none" w:sz="0" w:space="0" w:color="auto"/>
        <w:right w:val="none" w:sz="0" w:space="0" w:color="auto"/>
      </w:divBdr>
    </w:div>
    <w:div w:id="1278105244">
      <w:bodyDiv w:val="1"/>
      <w:marLeft w:val="0"/>
      <w:marRight w:val="0"/>
      <w:marTop w:val="0"/>
      <w:marBottom w:val="0"/>
      <w:divBdr>
        <w:top w:val="none" w:sz="0" w:space="0" w:color="auto"/>
        <w:left w:val="none" w:sz="0" w:space="0" w:color="auto"/>
        <w:bottom w:val="none" w:sz="0" w:space="0" w:color="auto"/>
        <w:right w:val="none" w:sz="0" w:space="0" w:color="auto"/>
      </w:divBdr>
    </w:div>
    <w:div w:id="1281716795">
      <w:bodyDiv w:val="1"/>
      <w:marLeft w:val="0"/>
      <w:marRight w:val="0"/>
      <w:marTop w:val="0"/>
      <w:marBottom w:val="0"/>
      <w:divBdr>
        <w:top w:val="none" w:sz="0" w:space="0" w:color="auto"/>
        <w:left w:val="none" w:sz="0" w:space="0" w:color="auto"/>
        <w:bottom w:val="none" w:sz="0" w:space="0" w:color="auto"/>
        <w:right w:val="none" w:sz="0" w:space="0" w:color="auto"/>
      </w:divBdr>
    </w:div>
    <w:div w:id="1369990102">
      <w:bodyDiv w:val="1"/>
      <w:marLeft w:val="0"/>
      <w:marRight w:val="0"/>
      <w:marTop w:val="0"/>
      <w:marBottom w:val="0"/>
      <w:divBdr>
        <w:top w:val="none" w:sz="0" w:space="0" w:color="auto"/>
        <w:left w:val="none" w:sz="0" w:space="0" w:color="auto"/>
        <w:bottom w:val="none" w:sz="0" w:space="0" w:color="auto"/>
        <w:right w:val="none" w:sz="0" w:space="0" w:color="auto"/>
      </w:divBdr>
    </w:div>
    <w:div w:id="1385325897">
      <w:bodyDiv w:val="1"/>
      <w:marLeft w:val="0"/>
      <w:marRight w:val="0"/>
      <w:marTop w:val="0"/>
      <w:marBottom w:val="0"/>
      <w:divBdr>
        <w:top w:val="none" w:sz="0" w:space="0" w:color="auto"/>
        <w:left w:val="none" w:sz="0" w:space="0" w:color="auto"/>
        <w:bottom w:val="none" w:sz="0" w:space="0" w:color="auto"/>
        <w:right w:val="none" w:sz="0" w:space="0" w:color="auto"/>
      </w:divBdr>
    </w:div>
    <w:div w:id="1411923581">
      <w:bodyDiv w:val="1"/>
      <w:marLeft w:val="0"/>
      <w:marRight w:val="0"/>
      <w:marTop w:val="0"/>
      <w:marBottom w:val="0"/>
      <w:divBdr>
        <w:top w:val="none" w:sz="0" w:space="0" w:color="auto"/>
        <w:left w:val="none" w:sz="0" w:space="0" w:color="auto"/>
        <w:bottom w:val="none" w:sz="0" w:space="0" w:color="auto"/>
        <w:right w:val="none" w:sz="0" w:space="0" w:color="auto"/>
      </w:divBdr>
    </w:div>
    <w:div w:id="1422796248">
      <w:bodyDiv w:val="1"/>
      <w:marLeft w:val="0"/>
      <w:marRight w:val="0"/>
      <w:marTop w:val="0"/>
      <w:marBottom w:val="0"/>
      <w:divBdr>
        <w:top w:val="none" w:sz="0" w:space="0" w:color="auto"/>
        <w:left w:val="none" w:sz="0" w:space="0" w:color="auto"/>
        <w:bottom w:val="none" w:sz="0" w:space="0" w:color="auto"/>
        <w:right w:val="none" w:sz="0" w:space="0" w:color="auto"/>
      </w:divBdr>
    </w:div>
    <w:div w:id="1496217423">
      <w:bodyDiv w:val="1"/>
      <w:marLeft w:val="0"/>
      <w:marRight w:val="0"/>
      <w:marTop w:val="0"/>
      <w:marBottom w:val="0"/>
      <w:divBdr>
        <w:top w:val="none" w:sz="0" w:space="0" w:color="auto"/>
        <w:left w:val="none" w:sz="0" w:space="0" w:color="auto"/>
        <w:bottom w:val="none" w:sz="0" w:space="0" w:color="auto"/>
        <w:right w:val="none" w:sz="0" w:space="0" w:color="auto"/>
      </w:divBdr>
    </w:div>
    <w:div w:id="1518471046">
      <w:bodyDiv w:val="1"/>
      <w:marLeft w:val="0"/>
      <w:marRight w:val="0"/>
      <w:marTop w:val="0"/>
      <w:marBottom w:val="0"/>
      <w:divBdr>
        <w:top w:val="none" w:sz="0" w:space="0" w:color="auto"/>
        <w:left w:val="none" w:sz="0" w:space="0" w:color="auto"/>
        <w:bottom w:val="none" w:sz="0" w:space="0" w:color="auto"/>
        <w:right w:val="none" w:sz="0" w:space="0" w:color="auto"/>
      </w:divBdr>
    </w:div>
    <w:div w:id="1525633319">
      <w:bodyDiv w:val="1"/>
      <w:marLeft w:val="0"/>
      <w:marRight w:val="0"/>
      <w:marTop w:val="0"/>
      <w:marBottom w:val="0"/>
      <w:divBdr>
        <w:top w:val="none" w:sz="0" w:space="0" w:color="auto"/>
        <w:left w:val="none" w:sz="0" w:space="0" w:color="auto"/>
        <w:bottom w:val="none" w:sz="0" w:space="0" w:color="auto"/>
        <w:right w:val="none" w:sz="0" w:space="0" w:color="auto"/>
      </w:divBdr>
    </w:div>
    <w:div w:id="1533691851">
      <w:bodyDiv w:val="1"/>
      <w:marLeft w:val="0"/>
      <w:marRight w:val="0"/>
      <w:marTop w:val="0"/>
      <w:marBottom w:val="0"/>
      <w:divBdr>
        <w:top w:val="none" w:sz="0" w:space="0" w:color="auto"/>
        <w:left w:val="none" w:sz="0" w:space="0" w:color="auto"/>
        <w:bottom w:val="none" w:sz="0" w:space="0" w:color="auto"/>
        <w:right w:val="none" w:sz="0" w:space="0" w:color="auto"/>
      </w:divBdr>
    </w:div>
    <w:div w:id="1581526921">
      <w:bodyDiv w:val="1"/>
      <w:marLeft w:val="0"/>
      <w:marRight w:val="0"/>
      <w:marTop w:val="0"/>
      <w:marBottom w:val="0"/>
      <w:divBdr>
        <w:top w:val="none" w:sz="0" w:space="0" w:color="auto"/>
        <w:left w:val="none" w:sz="0" w:space="0" w:color="auto"/>
        <w:bottom w:val="none" w:sz="0" w:space="0" w:color="auto"/>
        <w:right w:val="none" w:sz="0" w:space="0" w:color="auto"/>
      </w:divBdr>
    </w:div>
    <w:div w:id="1689212328">
      <w:bodyDiv w:val="1"/>
      <w:marLeft w:val="0"/>
      <w:marRight w:val="0"/>
      <w:marTop w:val="0"/>
      <w:marBottom w:val="0"/>
      <w:divBdr>
        <w:top w:val="none" w:sz="0" w:space="0" w:color="auto"/>
        <w:left w:val="none" w:sz="0" w:space="0" w:color="auto"/>
        <w:bottom w:val="none" w:sz="0" w:space="0" w:color="auto"/>
        <w:right w:val="none" w:sz="0" w:space="0" w:color="auto"/>
      </w:divBdr>
    </w:div>
    <w:div w:id="1773164303">
      <w:bodyDiv w:val="1"/>
      <w:marLeft w:val="0"/>
      <w:marRight w:val="0"/>
      <w:marTop w:val="0"/>
      <w:marBottom w:val="0"/>
      <w:divBdr>
        <w:top w:val="none" w:sz="0" w:space="0" w:color="auto"/>
        <w:left w:val="none" w:sz="0" w:space="0" w:color="auto"/>
        <w:bottom w:val="none" w:sz="0" w:space="0" w:color="auto"/>
        <w:right w:val="none" w:sz="0" w:space="0" w:color="auto"/>
      </w:divBdr>
    </w:div>
    <w:div w:id="1774208332">
      <w:bodyDiv w:val="1"/>
      <w:marLeft w:val="0"/>
      <w:marRight w:val="0"/>
      <w:marTop w:val="0"/>
      <w:marBottom w:val="0"/>
      <w:divBdr>
        <w:top w:val="none" w:sz="0" w:space="0" w:color="auto"/>
        <w:left w:val="none" w:sz="0" w:space="0" w:color="auto"/>
        <w:bottom w:val="none" w:sz="0" w:space="0" w:color="auto"/>
        <w:right w:val="none" w:sz="0" w:space="0" w:color="auto"/>
      </w:divBdr>
    </w:div>
    <w:div w:id="1782263509">
      <w:bodyDiv w:val="1"/>
      <w:marLeft w:val="0"/>
      <w:marRight w:val="0"/>
      <w:marTop w:val="0"/>
      <w:marBottom w:val="0"/>
      <w:divBdr>
        <w:top w:val="none" w:sz="0" w:space="0" w:color="auto"/>
        <w:left w:val="none" w:sz="0" w:space="0" w:color="auto"/>
        <w:bottom w:val="none" w:sz="0" w:space="0" w:color="auto"/>
        <w:right w:val="none" w:sz="0" w:space="0" w:color="auto"/>
      </w:divBdr>
    </w:div>
    <w:div w:id="1816140936">
      <w:bodyDiv w:val="1"/>
      <w:marLeft w:val="0"/>
      <w:marRight w:val="0"/>
      <w:marTop w:val="0"/>
      <w:marBottom w:val="0"/>
      <w:divBdr>
        <w:top w:val="none" w:sz="0" w:space="0" w:color="auto"/>
        <w:left w:val="none" w:sz="0" w:space="0" w:color="auto"/>
        <w:bottom w:val="none" w:sz="0" w:space="0" w:color="auto"/>
        <w:right w:val="none" w:sz="0" w:space="0" w:color="auto"/>
      </w:divBdr>
    </w:div>
    <w:div w:id="1911963870">
      <w:bodyDiv w:val="1"/>
      <w:marLeft w:val="0"/>
      <w:marRight w:val="0"/>
      <w:marTop w:val="0"/>
      <w:marBottom w:val="0"/>
      <w:divBdr>
        <w:top w:val="none" w:sz="0" w:space="0" w:color="auto"/>
        <w:left w:val="none" w:sz="0" w:space="0" w:color="auto"/>
        <w:bottom w:val="none" w:sz="0" w:space="0" w:color="auto"/>
        <w:right w:val="none" w:sz="0" w:space="0" w:color="auto"/>
      </w:divBdr>
    </w:div>
    <w:div w:id="1934047399">
      <w:bodyDiv w:val="1"/>
      <w:marLeft w:val="0"/>
      <w:marRight w:val="0"/>
      <w:marTop w:val="0"/>
      <w:marBottom w:val="0"/>
      <w:divBdr>
        <w:top w:val="none" w:sz="0" w:space="0" w:color="auto"/>
        <w:left w:val="none" w:sz="0" w:space="0" w:color="auto"/>
        <w:bottom w:val="none" w:sz="0" w:space="0" w:color="auto"/>
        <w:right w:val="none" w:sz="0" w:space="0" w:color="auto"/>
      </w:divBdr>
      <w:divsChild>
        <w:div w:id="1530138841">
          <w:marLeft w:val="150"/>
          <w:marRight w:val="0"/>
          <w:marTop w:val="0"/>
          <w:marBottom w:val="0"/>
          <w:divBdr>
            <w:top w:val="none" w:sz="0" w:space="0" w:color="auto"/>
            <w:left w:val="none" w:sz="0" w:space="0" w:color="auto"/>
            <w:bottom w:val="none" w:sz="0" w:space="0" w:color="auto"/>
            <w:right w:val="none" w:sz="0" w:space="0" w:color="auto"/>
          </w:divBdr>
        </w:div>
      </w:divsChild>
    </w:div>
    <w:div w:id="2005890340">
      <w:bodyDiv w:val="1"/>
      <w:marLeft w:val="0"/>
      <w:marRight w:val="0"/>
      <w:marTop w:val="0"/>
      <w:marBottom w:val="0"/>
      <w:divBdr>
        <w:top w:val="none" w:sz="0" w:space="0" w:color="auto"/>
        <w:left w:val="none" w:sz="0" w:space="0" w:color="auto"/>
        <w:bottom w:val="none" w:sz="0" w:space="0" w:color="auto"/>
        <w:right w:val="none" w:sz="0" w:space="0" w:color="auto"/>
      </w:divBdr>
    </w:div>
    <w:div w:id="2070496280">
      <w:bodyDiv w:val="1"/>
      <w:marLeft w:val="0"/>
      <w:marRight w:val="0"/>
      <w:marTop w:val="0"/>
      <w:marBottom w:val="0"/>
      <w:divBdr>
        <w:top w:val="none" w:sz="0" w:space="0" w:color="auto"/>
        <w:left w:val="none" w:sz="0" w:space="0" w:color="auto"/>
        <w:bottom w:val="none" w:sz="0" w:space="0" w:color="auto"/>
        <w:right w:val="none" w:sz="0" w:space="0" w:color="auto"/>
      </w:divBdr>
    </w:div>
    <w:div w:id="2100102542">
      <w:bodyDiv w:val="1"/>
      <w:marLeft w:val="0"/>
      <w:marRight w:val="0"/>
      <w:marTop w:val="0"/>
      <w:marBottom w:val="0"/>
      <w:divBdr>
        <w:top w:val="none" w:sz="0" w:space="0" w:color="auto"/>
        <w:left w:val="none" w:sz="0" w:space="0" w:color="auto"/>
        <w:bottom w:val="none" w:sz="0" w:space="0" w:color="auto"/>
        <w:right w:val="none" w:sz="0" w:space="0" w:color="auto"/>
      </w:divBdr>
    </w:div>
    <w:div w:id="21334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4772</Words>
  <Characters>27204</Characters>
  <Application>Microsoft Office Word</Application>
  <DocSecurity>0</DocSecurity>
  <Lines>226</Lines>
  <Paragraphs>63</Paragraphs>
  <ScaleCrop>false</ScaleCrop>
  <Company/>
  <LinksUpToDate>false</LinksUpToDate>
  <CharactersWithSpaces>31913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Cuillier, David L - (cuillier)</cp:lastModifiedBy>
  <cp:revision>3</cp:revision>
  <dcterms:created xsi:type="dcterms:W3CDTF">2021-08-09T23:10:00Z</dcterms:created>
  <dcterms:modified xsi:type="dcterms:W3CDTF">2021-09-03T18:25:00Z</dcterms:modified>
</cp:coreProperties>
</file>