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11ED2" w14:textId="5C367087" w:rsidR="008039A7" w:rsidRDefault="008039A7">
      <w:pPr>
        <w:rPr>
          <w:b/>
          <w:bCs/>
        </w:rPr>
      </w:pPr>
      <w:r>
        <w:rPr>
          <w:b/>
          <w:bCs/>
        </w:rPr>
        <w:t xml:space="preserve">Eliminating a Barrier to Access: Waiving or Reducing Fees for Public Records in Florida </w:t>
      </w:r>
    </w:p>
    <w:p w14:paraId="2F87E28E" w14:textId="0B0B3090" w:rsidR="007D5A96" w:rsidRDefault="007D5A96">
      <w:pPr>
        <w:rPr>
          <w:b/>
          <w:bCs/>
        </w:rPr>
      </w:pPr>
    </w:p>
    <w:p w14:paraId="4752C906" w14:textId="63A32DB6" w:rsidR="007D5A96" w:rsidRPr="007D5A96" w:rsidRDefault="007D5A96" w:rsidP="007D5A96">
      <w:pPr>
        <w:jc w:val="center"/>
        <w:rPr>
          <w:bCs/>
        </w:rPr>
      </w:pPr>
      <w:r w:rsidRPr="007D5A96">
        <w:rPr>
          <w:bCs/>
        </w:rPr>
        <w:t>By Virginia Hamrick, Florida First Amendment Foundation</w:t>
      </w:r>
    </w:p>
    <w:p w14:paraId="1F71A36C" w14:textId="77777777" w:rsidR="008039A7" w:rsidRDefault="008039A7">
      <w:pPr>
        <w:rPr>
          <w:b/>
          <w:bCs/>
        </w:rPr>
      </w:pPr>
    </w:p>
    <w:p w14:paraId="10A72F2A" w14:textId="6C60EF16" w:rsidR="00BB79F4" w:rsidRDefault="00BB79F4">
      <w:pPr>
        <w:rPr>
          <w:b/>
          <w:bCs/>
        </w:rPr>
      </w:pPr>
      <w:r>
        <w:rPr>
          <w:b/>
          <w:bCs/>
        </w:rPr>
        <w:t xml:space="preserve">Introduction </w:t>
      </w:r>
    </w:p>
    <w:p w14:paraId="2D454AF3" w14:textId="56591209" w:rsidR="00BB79F4" w:rsidRDefault="00BB79F4">
      <w:pPr>
        <w:rPr>
          <w:b/>
          <w:bCs/>
        </w:rPr>
      </w:pPr>
    </w:p>
    <w:p w14:paraId="3215C13B" w14:textId="7D3FCE6E" w:rsidR="00BB79F4" w:rsidRDefault="00BB79F4" w:rsidP="00015DF9">
      <w:pPr>
        <w:spacing w:line="480" w:lineRule="auto"/>
        <w:ind w:firstLine="720"/>
      </w:pPr>
      <w:r>
        <w:t xml:space="preserve">When the </w:t>
      </w:r>
      <w:r w:rsidR="00015DF9">
        <w:t xml:space="preserve">nonprofit organization </w:t>
      </w:r>
      <w:r>
        <w:t xml:space="preserve">Coalition of Immokalee Workers asked a Florida agency for </w:t>
      </w:r>
      <w:r w:rsidR="00A55983">
        <w:t xml:space="preserve">three months of keyword-specific </w:t>
      </w:r>
      <w:r>
        <w:t>emails betw</w:t>
      </w:r>
      <w:bookmarkStart w:id="0" w:name="_GoBack"/>
      <w:bookmarkEnd w:id="0"/>
      <w:r>
        <w:t>een another nonprofit and state officials, the agency said it would cost $42,000 to produce th</w:t>
      </w:r>
      <w:r w:rsidR="00A55983">
        <w:t>em</w:t>
      </w:r>
      <w:r>
        <w:t>.</w:t>
      </w:r>
      <w:r w:rsidR="000971BF">
        <w:rPr>
          <w:rStyle w:val="FootnoteReference"/>
        </w:rPr>
        <w:footnoteReference w:id="1"/>
      </w:r>
      <w:r w:rsidR="000971BF">
        <w:t xml:space="preserve"> </w:t>
      </w:r>
      <w:r>
        <w:t xml:space="preserve">The Coalition sought the records to better understand why state officials decided against participating in a COVID-19 contract tracing program </w:t>
      </w:r>
      <w:r w:rsidR="00B46EAF">
        <w:t>with the international nonprofit, Partners in Health</w:t>
      </w:r>
      <w:r>
        <w:t>.</w:t>
      </w:r>
      <w:r w:rsidR="000971BF">
        <w:rPr>
          <w:rStyle w:val="FootnoteReference"/>
        </w:rPr>
        <w:footnoteReference w:id="2"/>
      </w:r>
      <w:r w:rsidR="000971BF">
        <w:t xml:space="preserve"> </w:t>
      </w:r>
      <w:r w:rsidR="00B46EAF">
        <w:t xml:space="preserve">By collaborating with Partners In Health, the Coalition </w:t>
      </w:r>
      <w:r w:rsidR="00C648E4">
        <w:t>argued</w:t>
      </w:r>
      <w:r w:rsidR="00B46EAF">
        <w:t xml:space="preserve"> </w:t>
      </w:r>
      <w:r w:rsidR="009C1D63">
        <w:t>that</w:t>
      </w:r>
      <w:r w:rsidR="00B46EAF">
        <w:t xml:space="preserve"> local and state government</w:t>
      </w:r>
      <w:r w:rsidR="009C1D63">
        <w:t>s</w:t>
      </w:r>
      <w:r w:rsidR="00B46EAF">
        <w:t xml:space="preserve"> </w:t>
      </w:r>
      <w:r w:rsidR="009C1D63">
        <w:t>could effectively trace and limit the spread of the virus among farmworkers.</w:t>
      </w:r>
      <w:r w:rsidR="000971BF">
        <w:rPr>
          <w:rStyle w:val="FootnoteReference"/>
        </w:rPr>
        <w:footnoteReference w:id="3"/>
      </w:r>
      <w:r w:rsidR="000971BF">
        <w:t xml:space="preserve"> </w:t>
      </w:r>
    </w:p>
    <w:p w14:paraId="43D3AA9C" w14:textId="0A0C574B" w:rsidR="000971BF" w:rsidRDefault="00015DF9" w:rsidP="00015DF9">
      <w:pPr>
        <w:spacing w:line="480" w:lineRule="auto"/>
        <w:ind w:firstLine="720"/>
      </w:pPr>
      <w:r>
        <w:t>W</w:t>
      </w:r>
      <w:r w:rsidR="00C648E4">
        <w:t xml:space="preserve">hen a VICE </w:t>
      </w:r>
      <w:r w:rsidR="00364211">
        <w:t xml:space="preserve">News </w:t>
      </w:r>
      <w:r>
        <w:t xml:space="preserve">reporter </w:t>
      </w:r>
      <w:r w:rsidR="00C648E4">
        <w:t>asked the Department of Health for correspondences between</w:t>
      </w:r>
      <w:r>
        <w:t xml:space="preserve"> </w:t>
      </w:r>
      <w:r w:rsidR="00C648E4">
        <w:t xml:space="preserve">health officials during a </w:t>
      </w:r>
      <w:r w:rsidR="00F91076">
        <w:t>two-and-a-half-month</w:t>
      </w:r>
      <w:r w:rsidR="00C648E4">
        <w:t xml:space="preserve"> period, the Department estimated it would cost $17,000 to provide </w:t>
      </w:r>
      <w:r>
        <w:t>the</w:t>
      </w:r>
      <w:r w:rsidR="00C648E4">
        <w:t xml:space="preserve"> records.</w:t>
      </w:r>
      <w:r w:rsidR="000971BF">
        <w:rPr>
          <w:rStyle w:val="FootnoteReference"/>
        </w:rPr>
        <w:footnoteReference w:id="4"/>
      </w:r>
      <w:r w:rsidR="000971BF">
        <w:t xml:space="preserve"> </w:t>
      </w:r>
      <w:r w:rsidR="00364211">
        <w:t>The reporter sought the records to understand Florida’s COVID-19 vaccine prioritization and distribution plan.</w:t>
      </w:r>
    </w:p>
    <w:p w14:paraId="461B3861" w14:textId="48093A9C" w:rsidR="000971BF" w:rsidRDefault="000971BF" w:rsidP="00015DF9">
      <w:pPr>
        <w:spacing w:line="480" w:lineRule="auto"/>
        <w:ind w:firstLine="720"/>
      </w:pPr>
      <w:r>
        <w:t>Throughout the COVID-19 pandemic, as the public tried to acquire information on the spread of the coronavirus, state agencies withheld vital information related to cases in assisted living facilities, reports from the federal government, and information on virus variants.</w:t>
      </w:r>
      <w:r>
        <w:rPr>
          <w:rStyle w:val="FootnoteReference"/>
        </w:rPr>
        <w:footnoteReference w:id="5"/>
      </w:r>
      <w:r>
        <w:t xml:space="preserve"> Even </w:t>
      </w:r>
      <w:r>
        <w:lastRenderedPageBreak/>
        <w:t xml:space="preserve">when agencies acknowledged that the information was public, high fees prevented non-profit organizations, journalists, and members of the public from accessing </w:t>
      </w:r>
      <w:r w:rsidR="00A55983">
        <w:t>it</w:t>
      </w:r>
      <w:r>
        <w:t xml:space="preserve">. </w:t>
      </w:r>
    </w:p>
    <w:p w14:paraId="4CDC2BE3" w14:textId="3AB67F0E" w:rsidR="000971BF" w:rsidRDefault="008039A7" w:rsidP="00015DF9">
      <w:pPr>
        <w:spacing w:line="480" w:lineRule="auto"/>
        <w:ind w:firstLine="720"/>
      </w:pPr>
      <w:r>
        <w:t>Exorbitant fees</w:t>
      </w:r>
      <w:r w:rsidR="000971BF">
        <w:t xml:space="preserve"> are not </w:t>
      </w:r>
      <w:r w:rsidR="00015DF9">
        <w:t>limited</w:t>
      </w:r>
      <w:r w:rsidR="000971BF">
        <w:t xml:space="preserve"> to records related to </w:t>
      </w:r>
      <w:r w:rsidR="00015DF9">
        <w:t>coronavirus</w:t>
      </w:r>
      <w:r w:rsidR="000971BF">
        <w:t xml:space="preserve"> information. Department of Health records show a journalist was given an initial estimate of $914 for copies of inspections at public school kitchens and cafeterias.</w:t>
      </w:r>
      <w:r w:rsidR="000971BF">
        <w:rPr>
          <w:rStyle w:val="FootnoteReference"/>
        </w:rPr>
        <w:footnoteReference w:id="6"/>
      </w:r>
      <w:r w:rsidR="000971BF">
        <w:t xml:space="preserve"> The Department of Business and Professional Regulation estimated that it would cost more than $1,900 to </w:t>
      </w:r>
      <w:r w:rsidR="00A55983">
        <w:t>fulfill</w:t>
      </w:r>
      <w:r w:rsidR="000971BF">
        <w:t xml:space="preserve"> a reporter’s request for complaints against contractors and cosmetologists filed with the department in one county during a 26-month period.</w:t>
      </w:r>
      <w:r w:rsidR="000971BF">
        <w:rPr>
          <w:rStyle w:val="FootnoteReference"/>
        </w:rPr>
        <w:footnoteReference w:id="7"/>
      </w:r>
      <w:r w:rsidR="000971BF">
        <w:t xml:space="preserve"> The Florida Department of Transportation (FDOT) sent a journalist an invoice for $2,000 for emails related to the structural integrity of a bridge.</w:t>
      </w:r>
      <w:r w:rsidR="000971BF">
        <w:rPr>
          <w:rStyle w:val="FootnoteReference"/>
        </w:rPr>
        <w:footnoteReference w:id="8"/>
      </w:r>
      <w:r w:rsidR="000971BF">
        <w:t xml:space="preserve"> These records were meant to shed light on the stability of a heavily trafficked bridge. </w:t>
      </w:r>
    </w:p>
    <w:p w14:paraId="69B2CAE0" w14:textId="7F323CE4" w:rsidR="000971BF" w:rsidRDefault="000971BF" w:rsidP="006C0EFB">
      <w:pPr>
        <w:spacing w:line="480" w:lineRule="auto"/>
      </w:pPr>
      <w:r>
        <w:tab/>
        <w:t xml:space="preserve">Excessive fees limit the media’s ability to report on government agencies and matters that affect the wellbeing of the community – from school safety to infrastructure. Charges </w:t>
      </w:r>
      <w:r w:rsidR="00A55983">
        <w:t>prevent</w:t>
      </w:r>
      <w:r>
        <w:t xml:space="preserve"> many members of the public from obtaining government information. As a result, public oversight of agencies is significantly impaired</w:t>
      </w:r>
      <w:r w:rsidR="001C4025">
        <w:t>,</w:t>
      </w:r>
      <w:r w:rsidR="006C0EFB">
        <w:t xml:space="preserve"> and the public is less informed about the government</w:t>
      </w:r>
      <w:r>
        <w:t xml:space="preserve">. </w:t>
      </w:r>
    </w:p>
    <w:p w14:paraId="6D958714" w14:textId="40A31D64" w:rsidR="00090786" w:rsidRDefault="006C0EFB" w:rsidP="00A37159">
      <w:pPr>
        <w:spacing w:line="480" w:lineRule="auto"/>
        <w:ind w:firstLine="720"/>
      </w:pPr>
      <w:r>
        <w:t>When given a high invoice, r</w:t>
      </w:r>
      <w:r w:rsidR="000971BF">
        <w:t>equest</w:t>
      </w:r>
      <w:r w:rsidR="00457B51">
        <w:t>e</w:t>
      </w:r>
      <w:r w:rsidR="000971BF">
        <w:t>rs may go back and forth with the records custodian to narrow the request and reduce the costs. This process delays a request</w:t>
      </w:r>
      <w:r w:rsidR="00457B51">
        <w:t>e</w:t>
      </w:r>
      <w:r w:rsidR="000971BF">
        <w:t>r’s access to information. Time spent debating over fees could be spent collecting and providing the records to the request</w:t>
      </w:r>
      <w:r w:rsidR="00457B51">
        <w:t>e</w:t>
      </w:r>
      <w:r w:rsidR="000971BF">
        <w:t xml:space="preserve">r, who could </w:t>
      </w:r>
      <w:r>
        <w:t xml:space="preserve">then make </w:t>
      </w:r>
      <w:r w:rsidR="000971BF">
        <w:t xml:space="preserve">the information known to the public at large. Meanwhile, </w:t>
      </w:r>
      <w:r w:rsidR="000971BF">
        <w:lastRenderedPageBreak/>
        <w:t>for-profit businesses and request</w:t>
      </w:r>
      <w:r w:rsidR="00457B51">
        <w:t>e</w:t>
      </w:r>
      <w:r w:rsidR="000971BF">
        <w:t xml:space="preserve">rs with the resources to pay for the records can immediately access the information. </w:t>
      </w:r>
    </w:p>
    <w:p w14:paraId="16818F76" w14:textId="60C8F0F0" w:rsidR="000971BF" w:rsidRDefault="00090786" w:rsidP="006C0EFB">
      <w:pPr>
        <w:spacing w:line="480" w:lineRule="auto"/>
        <w:ind w:firstLine="720"/>
      </w:pPr>
      <w:r>
        <w:t xml:space="preserve">Federal government agencies subject to the Freedom of Information Act (FOIA) and </w:t>
      </w:r>
      <w:r w:rsidR="006C0EFB">
        <w:t xml:space="preserve">a majority of </w:t>
      </w:r>
      <w:r w:rsidR="000971BF">
        <w:t xml:space="preserve">states </w:t>
      </w:r>
      <w:r w:rsidR="00687562">
        <w:t xml:space="preserve">allow for a fee waiver for requests made in the public interest by journalists and non-commercial </w:t>
      </w:r>
      <w:r w:rsidR="008039A7">
        <w:t>requesters</w:t>
      </w:r>
      <w:r w:rsidR="00687562">
        <w:t xml:space="preserve">. Such a </w:t>
      </w:r>
      <w:r>
        <w:t xml:space="preserve">waiver </w:t>
      </w:r>
      <w:r w:rsidR="00687562">
        <w:t xml:space="preserve">would </w:t>
      </w:r>
      <w:r>
        <w:t>reduce excessive fees for nonprofit organizations and reporters</w:t>
      </w:r>
      <w:r w:rsidR="006C0EFB">
        <w:t xml:space="preserve"> in Florida</w:t>
      </w:r>
      <w:r>
        <w:t xml:space="preserve">.  </w:t>
      </w:r>
      <w:r w:rsidR="000971BF">
        <w:t xml:space="preserve"> </w:t>
      </w:r>
    </w:p>
    <w:p w14:paraId="2A7E75AC" w14:textId="221A7756" w:rsidR="000971BF" w:rsidRDefault="000971BF" w:rsidP="006C0EFB">
      <w:pPr>
        <w:spacing w:line="480" w:lineRule="auto"/>
      </w:pPr>
      <w:r>
        <w:tab/>
        <w:t>Research has already been done on the effect of a fee waiver on Florida municipalities.</w:t>
      </w:r>
      <w:r>
        <w:rPr>
          <w:rStyle w:val="FootnoteReference"/>
        </w:rPr>
        <w:footnoteReference w:id="9"/>
      </w:r>
      <w:r>
        <w:t xml:space="preserve"> In fact, an analysis shows that </w:t>
      </w:r>
      <w:r w:rsidR="008039A7">
        <w:t>a</w:t>
      </w:r>
      <w:r>
        <w:t xml:space="preserve"> relatively small number of requests made to municipalities would be eligible </w:t>
      </w:r>
      <w:r w:rsidR="00687562">
        <w:t>for a</w:t>
      </w:r>
      <w:r>
        <w:t xml:space="preserve"> fee waiver as requests made in the public interest.</w:t>
      </w:r>
      <w:r>
        <w:rPr>
          <w:rStyle w:val="FootnoteReference"/>
        </w:rPr>
        <w:footnoteReference w:id="10"/>
      </w:r>
      <w:r>
        <w:t xml:space="preserve"> This article attempts to add to the discussion of fee waivers in Florida and assess the effect of a waiver on state agencies. While local government entities estimate high fees, it is not uncommon to see estimates reaching thousands of dollars for public records requests submitted to agencies.</w:t>
      </w:r>
    </w:p>
    <w:p w14:paraId="023A9C5B" w14:textId="1A9BF573" w:rsidR="00A37159" w:rsidRPr="00687562" w:rsidRDefault="000971BF" w:rsidP="00687562">
      <w:pPr>
        <w:spacing w:line="480" w:lineRule="auto"/>
        <w:ind w:firstLine="720"/>
      </w:pPr>
      <w:r>
        <w:t xml:space="preserve">This article will first address what </w:t>
      </w:r>
      <w:r w:rsidR="006C0EFB">
        <w:t>causes</w:t>
      </w:r>
      <w:r>
        <w:t xml:space="preserve"> expensive public records requests</w:t>
      </w:r>
      <w:r w:rsidR="00A551F9">
        <w:t xml:space="preserve"> in Florida</w:t>
      </w:r>
      <w:r>
        <w:t xml:space="preserve">. </w:t>
      </w:r>
      <w:r w:rsidR="00090786">
        <w:t xml:space="preserve">Next, this article will </w:t>
      </w:r>
      <w:r w:rsidR="006C0EFB">
        <w:t>explain</w:t>
      </w:r>
      <w:r w:rsidR="00090786">
        <w:t xml:space="preserve"> fee waivers utilized in other states and by the federal government. </w:t>
      </w:r>
      <w:r w:rsidR="00687562">
        <w:t>Then it</w:t>
      </w:r>
      <w:r w:rsidR="00A551F9">
        <w:t xml:space="preserve"> will analyze public record requests submitted to five state agencies to assess the number of requests that would be affected by a fee waiver. Finally, this article will argue for agencies to implement a waiver to make records more accessible to request</w:t>
      </w:r>
      <w:r w:rsidR="00457B51">
        <w:t>e</w:t>
      </w:r>
      <w:r w:rsidR="00A551F9">
        <w:t xml:space="preserve">rs seeking information in the public interest. </w:t>
      </w:r>
    </w:p>
    <w:p w14:paraId="46310D3C" w14:textId="77777777" w:rsidR="00A37159" w:rsidRDefault="00A37159">
      <w:pPr>
        <w:rPr>
          <w:b/>
          <w:bCs/>
        </w:rPr>
      </w:pPr>
    </w:p>
    <w:p w14:paraId="3895D24E" w14:textId="42BB6A87" w:rsidR="00A37159" w:rsidRDefault="00090786">
      <w:pPr>
        <w:rPr>
          <w:b/>
          <w:bCs/>
        </w:rPr>
      </w:pPr>
      <w:r>
        <w:rPr>
          <w:b/>
          <w:bCs/>
        </w:rPr>
        <w:t>Fees for Accessing Public Records</w:t>
      </w:r>
    </w:p>
    <w:p w14:paraId="3BD5A282" w14:textId="422D7B74" w:rsidR="00A551F9" w:rsidRDefault="00090786" w:rsidP="006C0EFB">
      <w:pPr>
        <w:spacing w:line="480" w:lineRule="auto"/>
      </w:pPr>
      <w:r>
        <w:rPr>
          <w:b/>
          <w:bCs/>
        </w:rPr>
        <w:lastRenderedPageBreak/>
        <w:tab/>
      </w:r>
      <w:r w:rsidR="00A551F9">
        <w:t xml:space="preserve"> </w:t>
      </w:r>
      <w:r w:rsidR="00687562">
        <w:t>The Florida Supreme Court has held that a</w:t>
      </w:r>
      <w:r w:rsidR="00A551F9">
        <w:t>ccess to public records is a “cornerstone of our political culture.”</w:t>
      </w:r>
      <w:r w:rsidR="00A551F9">
        <w:rPr>
          <w:rStyle w:val="FootnoteReference"/>
        </w:rPr>
        <w:footnoteReference w:id="11"/>
      </w:r>
      <w:r w:rsidR="00A551F9">
        <w:t xml:space="preserve"> </w:t>
      </w:r>
      <w:r w:rsidR="00687562">
        <w:t>A</w:t>
      </w:r>
      <w:r w:rsidR="00A551F9">
        <w:t xml:space="preserve">ccess to public records </w:t>
      </w:r>
      <w:r w:rsidR="008039A7">
        <w:t xml:space="preserve">is </w:t>
      </w:r>
      <w:r w:rsidR="00A551F9">
        <w:t xml:space="preserve">provided in </w:t>
      </w:r>
      <w:r w:rsidR="00687562">
        <w:t xml:space="preserve">statute – </w:t>
      </w:r>
      <w:r w:rsidR="00A551F9">
        <w:t>the Florida Public Records Act</w:t>
      </w:r>
      <w:r w:rsidR="00687562">
        <w:t xml:space="preserve"> – and by</w:t>
      </w:r>
      <w:r w:rsidR="00A551F9">
        <w:t xml:space="preserve"> the state constitution</w:t>
      </w:r>
      <w:r w:rsidR="00687562">
        <w:t>, which</w:t>
      </w:r>
      <w:r w:rsidR="00A551F9">
        <w:t xml:space="preserve"> establishes a right </w:t>
      </w:r>
      <w:r w:rsidR="006C0EFB">
        <w:t xml:space="preserve">for every person </w:t>
      </w:r>
      <w:r w:rsidR="00A551F9">
        <w:t>to inspect or copy any public record.</w:t>
      </w:r>
      <w:r w:rsidR="00A551F9">
        <w:rPr>
          <w:rStyle w:val="FootnoteReference"/>
        </w:rPr>
        <w:footnoteReference w:id="12"/>
      </w:r>
      <w:r w:rsidR="00A551F9">
        <w:t xml:space="preserve"> </w:t>
      </w:r>
    </w:p>
    <w:p w14:paraId="3B418EAA" w14:textId="53C94E62" w:rsidR="00A551F9" w:rsidRDefault="00A551F9" w:rsidP="00CA5C75">
      <w:pPr>
        <w:spacing w:line="480" w:lineRule="auto"/>
        <w:ind w:firstLine="720"/>
      </w:pPr>
      <w:r>
        <w:t xml:space="preserve"> Public records can shed light on agency spending and decision making. In an investigation of Florida’s Birth-Related Neurological Injury Compensation Association (NICA), an agency meant to provide medically necessary care to patients with severe birth injuries and lower obstetricians’ malpractice costs, </w:t>
      </w:r>
      <w:r w:rsidRPr="00CA5C75">
        <w:rPr>
          <w:i/>
          <w:iCs/>
        </w:rPr>
        <w:t>Miami Herald</w:t>
      </w:r>
      <w:r>
        <w:t xml:space="preserve"> and ProPublica </w:t>
      </w:r>
      <w:r w:rsidR="00CA5C75">
        <w:t>journalists</w:t>
      </w:r>
      <w:r>
        <w:t xml:space="preserve"> reviewed board</w:t>
      </w:r>
      <w:r w:rsidR="008039A7">
        <w:t xml:space="preserve"> meeting</w:t>
      </w:r>
      <w:r>
        <w:t xml:space="preserve"> minutes, agency case management logs, and more than one thousand claims submitted to a state review board</w:t>
      </w:r>
      <w:r w:rsidR="00CA5C75">
        <w:t xml:space="preserve"> related to the agency</w:t>
      </w:r>
      <w:r>
        <w:t>.</w:t>
      </w:r>
      <w:r>
        <w:rPr>
          <w:rStyle w:val="FootnoteReference"/>
        </w:rPr>
        <w:footnoteReference w:id="13"/>
      </w:r>
      <w:r>
        <w:t xml:space="preserve"> The investigation revealed that NICA protected physicians while denying or delaying help for patients and their </w:t>
      </w:r>
      <w:r w:rsidR="00CA5C75">
        <w:t xml:space="preserve">struggling </w:t>
      </w:r>
      <w:r>
        <w:t>families and led to a legislative reform of the program.</w:t>
      </w:r>
      <w:r>
        <w:rPr>
          <w:rStyle w:val="FootnoteReference"/>
        </w:rPr>
        <w:footnoteReference w:id="14"/>
      </w:r>
      <w:r>
        <w:t xml:space="preserve"> </w:t>
      </w:r>
    </w:p>
    <w:p w14:paraId="51099E85" w14:textId="77777777" w:rsidR="00687562" w:rsidRDefault="00687562" w:rsidP="00CA5C75">
      <w:pPr>
        <w:spacing w:line="480" w:lineRule="auto"/>
        <w:ind w:firstLine="720"/>
      </w:pPr>
      <w:r>
        <w:t>R</w:t>
      </w:r>
      <w:r w:rsidR="00A551F9">
        <w:t xml:space="preserve">ecords can </w:t>
      </w:r>
      <w:r w:rsidR="00CA5C75">
        <w:t xml:space="preserve">reveal </w:t>
      </w:r>
      <w:r w:rsidR="00A551F9">
        <w:t xml:space="preserve">the safety of </w:t>
      </w:r>
      <w:r w:rsidR="00CA5C75">
        <w:t>roads, bridges,</w:t>
      </w:r>
      <w:r w:rsidR="00A551F9">
        <w:t xml:space="preserve"> </w:t>
      </w:r>
      <w:r w:rsidR="00CA5C75">
        <w:t xml:space="preserve">and </w:t>
      </w:r>
      <w:r w:rsidR="00A551F9">
        <w:t xml:space="preserve">buildings. In the days after the deadly Champlain Towers condo collapse in Surfside, Florida, </w:t>
      </w:r>
      <w:r w:rsidR="00CA5C75">
        <w:t xml:space="preserve">the town released </w:t>
      </w:r>
      <w:r>
        <w:t xml:space="preserve">years-old </w:t>
      </w:r>
      <w:r w:rsidR="00A551F9">
        <w:t xml:space="preserve">records </w:t>
      </w:r>
      <w:r w:rsidR="00E832BE">
        <w:t>that</w:t>
      </w:r>
      <w:r w:rsidR="00CA5C75">
        <w:t xml:space="preserve"> revealed that </w:t>
      </w:r>
      <w:r w:rsidR="00A551F9">
        <w:t xml:space="preserve">an engineer had warned the town of an error in the building’s design </w:t>
      </w:r>
      <w:r>
        <w:t xml:space="preserve">that was </w:t>
      </w:r>
      <w:r w:rsidR="00A551F9">
        <w:t>causing “major structural damage.”</w:t>
      </w:r>
      <w:r w:rsidR="00A551F9">
        <w:rPr>
          <w:rStyle w:val="FootnoteReference"/>
        </w:rPr>
        <w:footnoteReference w:id="15"/>
      </w:r>
      <w:r w:rsidR="00A551F9">
        <w:t xml:space="preserve"> </w:t>
      </w:r>
    </w:p>
    <w:p w14:paraId="307FC6BD" w14:textId="13B4BF5E" w:rsidR="00687562" w:rsidRDefault="008039A7" w:rsidP="00687562">
      <w:pPr>
        <w:spacing w:line="480" w:lineRule="auto"/>
        <w:ind w:firstLine="720"/>
      </w:pPr>
      <w:r>
        <w:lastRenderedPageBreak/>
        <w:t>P</w:t>
      </w:r>
      <w:r w:rsidR="00A551F9">
        <w:t xml:space="preserve">ublic oversight of agencies is nearly impossible without access to public records. </w:t>
      </w:r>
      <w:r w:rsidR="00CA5C75">
        <w:t xml:space="preserve">Despite the importance of public records, </w:t>
      </w:r>
      <w:r w:rsidR="00A551F9">
        <w:t xml:space="preserve">excessive fees can limit </w:t>
      </w:r>
      <w:r w:rsidR="00687562">
        <w:t xml:space="preserve">– or block – that </w:t>
      </w:r>
      <w:r w:rsidR="00A551F9">
        <w:t xml:space="preserve">access. </w:t>
      </w:r>
    </w:p>
    <w:p w14:paraId="0DEC3251" w14:textId="424BF210" w:rsidR="00090786" w:rsidRDefault="00090786" w:rsidP="00687562">
      <w:pPr>
        <w:spacing w:line="480" w:lineRule="auto"/>
        <w:ind w:firstLine="720"/>
      </w:pPr>
      <w:r>
        <w:t xml:space="preserve">The Florida Public Records Act permits records custodians to </w:t>
      </w:r>
      <w:r w:rsidR="00687562">
        <w:t>charge</w:t>
      </w:r>
      <w:r>
        <w:t xml:space="preserve"> for the cost of a certified copy of a record and for the duplication of records.</w:t>
      </w:r>
      <w:r>
        <w:rPr>
          <w:rStyle w:val="FootnoteReference"/>
        </w:rPr>
        <w:footnoteReference w:id="16"/>
      </w:r>
      <w:r>
        <w:t xml:space="preserve"> An agency can charge up to 15 cents for copies of not more than 14</w:t>
      </w:r>
      <w:r w:rsidR="00687562">
        <w:t>-by-</w:t>
      </w:r>
      <w:r>
        <w:t>8 ½ inches.</w:t>
      </w:r>
      <w:r>
        <w:rPr>
          <w:rStyle w:val="FootnoteReference"/>
        </w:rPr>
        <w:footnoteReference w:id="17"/>
      </w:r>
      <w:r>
        <w:t xml:space="preserve"> For all other copies, an agency may charge the actual cost of duplication.</w:t>
      </w:r>
      <w:r>
        <w:rPr>
          <w:rStyle w:val="FootnoteReference"/>
        </w:rPr>
        <w:footnoteReference w:id="18"/>
      </w:r>
    </w:p>
    <w:p w14:paraId="73F8AED9" w14:textId="77777777" w:rsidR="00A96383" w:rsidRDefault="00090786" w:rsidP="00A96383">
      <w:pPr>
        <w:spacing w:line="480" w:lineRule="auto"/>
      </w:pPr>
      <w:r>
        <w:tab/>
      </w:r>
      <w:r w:rsidR="00A96383">
        <w:t>In addition, an agency can charge for the</w:t>
      </w:r>
      <w:r>
        <w:t xml:space="preserve"> time needed to review the records for exempt information and redact </w:t>
      </w:r>
      <w:r w:rsidR="00A96383">
        <w:t>it</w:t>
      </w:r>
      <w:r>
        <w:t>.</w:t>
      </w:r>
      <w:r w:rsidR="00A96383">
        <w:t xml:space="preserve"> This provision can result in fees of hundreds or thousands of dollars.</w:t>
      </w:r>
    </w:p>
    <w:p w14:paraId="3C6E2366" w14:textId="2658A0BD" w:rsidR="00090786" w:rsidRDefault="00A96383" w:rsidP="001F2372">
      <w:pPr>
        <w:spacing w:line="480" w:lineRule="auto"/>
      </w:pPr>
      <w:r>
        <w:t>If</w:t>
      </w:r>
      <w:r w:rsidR="00090786">
        <w:t xml:space="preserve"> the nature or volume of public records requested requires “extensive use of information technology resources or extensive clerical or supervisory assistance by personnel of the agency involved, or both…</w:t>
      </w:r>
      <w:r>
        <w:t>,</w:t>
      </w:r>
      <w:r w:rsidR="00090786">
        <w:t>”</w:t>
      </w:r>
      <w:r>
        <w:t xml:space="preserve"> the agency can also charge for that time.</w:t>
      </w:r>
      <w:r w:rsidR="00090786">
        <w:rPr>
          <w:rStyle w:val="FootnoteReference"/>
        </w:rPr>
        <w:footnoteReference w:id="19"/>
      </w:r>
      <w:r w:rsidR="00090786">
        <w:t xml:space="preserve"> </w:t>
      </w:r>
      <w:r w:rsidR="001F2372">
        <w:t>Fees</w:t>
      </w:r>
      <w:r w:rsidR="00090786">
        <w:t xml:space="preserve"> must be reasonable and based on the labor actually incurred. Otherwise, the legislature provided little guidance for what is considered reasonable or how to calculate a special service charge. Agencies vary on what is considered extensive – some agencies start charging after fifteen minutes of work while others start charging after two hours of work.</w:t>
      </w:r>
      <w:r w:rsidR="00090786">
        <w:rPr>
          <w:rStyle w:val="FootnoteReference"/>
        </w:rPr>
        <w:footnoteReference w:id="20"/>
      </w:r>
      <w:r>
        <w:t xml:space="preserve"> </w:t>
      </w:r>
    </w:p>
    <w:p w14:paraId="7F3A2994" w14:textId="181E2A87" w:rsidR="00090786" w:rsidRDefault="00090786" w:rsidP="001F2372">
      <w:pPr>
        <w:spacing w:line="480" w:lineRule="auto"/>
        <w:ind w:firstLine="720"/>
      </w:pPr>
      <w:r>
        <w:t xml:space="preserve">Frequently, excessive service charges are based on the </w:t>
      </w:r>
      <w:r w:rsidR="00A96383">
        <w:t xml:space="preserve">estimated </w:t>
      </w:r>
      <w:r>
        <w:t xml:space="preserve">time it will take to review and redact the records for exempt or confidential information. </w:t>
      </w:r>
      <w:r w:rsidR="00A96383">
        <w:t>That can include</w:t>
      </w:r>
      <w:r>
        <w:t xml:space="preserve"> charging the request</w:t>
      </w:r>
      <w:r w:rsidR="00457B51">
        <w:t>e</w:t>
      </w:r>
      <w:r>
        <w:t>r the hourly rate of the agency’s attorney or</w:t>
      </w:r>
      <w:r w:rsidR="00457B51">
        <w:t xml:space="preserve">, in the case of </w:t>
      </w:r>
      <w:r w:rsidR="008039A7">
        <w:t>F</w:t>
      </w:r>
      <w:r w:rsidR="00457B51">
        <w:t xml:space="preserve">DOT records, </w:t>
      </w:r>
      <w:r>
        <w:t>an engineer</w:t>
      </w:r>
      <w:r w:rsidR="00457B51">
        <w:t>.</w:t>
      </w:r>
    </w:p>
    <w:p w14:paraId="2261D126" w14:textId="1DA169CF" w:rsidR="00090786" w:rsidRDefault="00090786" w:rsidP="00090786">
      <w:pPr>
        <w:ind w:firstLine="720"/>
      </w:pPr>
    </w:p>
    <w:p w14:paraId="47318A4A" w14:textId="6243BA25" w:rsidR="00090786" w:rsidRDefault="00090786" w:rsidP="00457B51">
      <w:pPr>
        <w:spacing w:line="480" w:lineRule="auto"/>
        <w:ind w:firstLine="720"/>
      </w:pPr>
      <w:r>
        <w:t>The Florida Attorney General has advised that providing access to records should not be considered a revenue-generating operation.</w:t>
      </w:r>
      <w:r>
        <w:rPr>
          <w:rStyle w:val="FootnoteReference"/>
        </w:rPr>
        <w:footnoteReference w:id="21"/>
      </w:r>
      <w:r>
        <w:t xml:space="preserve"> Similarly, the Florida Supreme Court has opined that excessive charges deter the public from seeking access to records to which they are entitled.</w:t>
      </w:r>
      <w:r>
        <w:rPr>
          <w:rStyle w:val="FootnoteReference"/>
        </w:rPr>
        <w:footnoteReference w:id="22"/>
      </w:r>
      <w:r>
        <w:t xml:space="preserve"> </w:t>
      </w:r>
      <w:r w:rsidR="00457B51">
        <w:t>I</w:t>
      </w:r>
      <w:r>
        <w:t xml:space="preserve">n practice, </w:t>
      </w:r>
      <w:r w:rsidR="00A96383">
        <w:t xml:space="preserve">though, </w:t>
      </w:r>
      <w:r>
        <w:t>there is little a request</w:t>
      </w:r>
      <w:r w:rsidR="00457B51">
        <w:t>e</w:t>
      </w:r>
      <w:r>
        <w:t>r can do when given a costly invoice, other than attempt to narrow the scope of the request</w:t>
      </w:r>
      <w:r w:rsidR="00A96383">
        <w:t xml:space="preserve"> – or give up entirely</w:t>
      </w:r>
      <w:r>
        <w:t>. A special service charge costing thousands of dollars can inhibit nonprofit organizations and journalists with limited spending budgets from accessing records – a right guaranteed to every person in the state constitution and statutes.</w:t>
      </w:r>
    </w:p>
    <w:p w14:paraId="71169FCC" w14:textId="77777777" w:rsidR="00090786" w:rsidRDefault="00090786" w:rsidP="00090786">
      <w:pPr>
        <w:ind w:firstLine="720"/>
      </w:pPr>
    </w:p>
    <w:p w14:paraId="6E34EA4C" w14:textId="5BAF4FCE" w:rsidR="00090786" w:rsidRDefault="00090786" w:rsidP="00090786">
      <w:r>
        <w:rPr>
          <w:b/>
          <w:bCs/>
        </w:rPr>
        <w:t xml:space="preserve">Fee Waivers </w:t>
      </w:r>
      <w:r w:rsidR="00CE5619">
        <w:rPr>
          <w:b/>
          <w:bCs/>
        </w:rPr>
        <w:t>for Requests Made in the Public Interest</w:t>
      </w:r>
    </w:p>
    <w:p w14:paraId="39DC0E97" w14:textId="2D4FEC9C" w:rsidR="00090786" w:rsidRDefault="00090786" w:rsidP="00090786">
      <w:r>
        <w:t xml:space="preserve">  </w:t>
      </w:r>
    </w:p>
    <w:p w14:paraId="2F985F32" w14:textId="662F10F3" w:rsidR="00CE5619" w:rsidRDefault="00090786" w:rsidP="00457B51">
      <w:pPr>
        <w:spacing w:line="480" w:lineRule="auto"/>
      </w:pPr>
      <w:r>
        <w:tab/>
      </w:r>
      <w:r w:rsidR="00A96383">
        <w:t>Fee waivers are mentioned in the public records laws of a</w:t>
      </w:r>
      <w:r>
        <w:t>t least 26 state</w:t>
      </w:r>
      <w:r w:rsidR="00A96383">
        <w:t>s.</w:t>
      </w:r>
      <w:r>
        <w:t xml:space="preserve"> While</w:t>
      </w:r>
      <w:r w:rsidR="00A96383">
        <w:t xml:space="preserve"> only</w:t>
      </w:r>
      <w:r>
        <w:t xml:space="preserve"> a few states require agencies to waive fees, most permit an agency to waive or reduce fees for records requests made in the public interest. Even where statutes are silent as to fee waiver, courts have </w:t>
      </w:r>
      <w:r w:rsidR="00A96383">
        <w:t>ruled that</w:t>
      </w:r>
      <w:r>
        <w:t xml:space="preserve"> agencies still have discretion to waive or lessen fees to permit greater access to records.</w:t>
      </w:r>
      <w:r>
        <w:rPr>
          <w:rStyle w:val="FootnoteReference"/>
        </w:rPr>
        <w:footnoteReference w:id="23"/>
      </w:r>
      <w:r>
        <w:t xml:space="preserve"> </w:t>
      </w:r>
    </w:p>
    <w:p w14:paraId="069D074E" w14:textId="19B740F7" w:rsidR="00C814B3" w:rsidRDefault="00CE5619" w:rsidP="00457B51">
      <w:pPr>
        <w:spacing w:line="480" w:lineRule="auto"/>
      </w:pPr>
      <w:r>
        <w:tab/>
      </w:r>
      <w:r w:rsidR="00975A9A">
        <w:t xml:space="preserve">Federal agencies subject to FOIA are required to create rules for responding and providing public records. </w:t>
      </w:r>
      <w:r w:rsidR="00C814B3">
        <w:t xml:space="preserve">Agencies can charge </w:t>
      </w:r>
      <w:r w:rsidR="00A96383">
        <w:t>specified</w:t>
      </w:r>
      <w:r w:rsidR="00C814B3">
        <w:t xml:space="preserve"> standard fees for “document search, duplication, and review</w:t>
      </w:r>
      <w:r w:rsidR="00B16F93">
        <w:t>” only</w:t>
      </w:r>
      <w:r w:rsidR="00C814B3">
        <w:t xml:space="preserve"> </w:t>
      </w:r>
      <w:r w:rsidR="00B16F93">
        <w:t>“</w:t>
      </w:r>
      <w:r w:rsidR="00C814B3">
        <w:t>when records are requested for commercial uses.”</w:t>
      </w:r>
      <w:r w:rsidR="00C814B3">
        <w:rPr>
          <w:rStyle w:val="FootnoteReference"/>
        </w:rPr>
        <w:footnoteReference w:id="24"/>
      </w:r>
      <w:r w:rsidR="00C814B3">
        <w:t xml:space="preserve"> </w:t>
      </w:r>
      <w:r w:rsidR="00B16F93">
        <w:t>And o</w:t>
      </w:r>
      <w:r w:rsidR="00C814B3">
        <w:t xml:space="preserve">nly </w:t>
      </w:r>
      <w:r w:rsidR="00B16F93">
        <w:t xml:space="preserve">commercial users </w:t>
      </w:r>
      <w:r w:rsidR="00C814B3">
        <w:t>can be charged for the time it takes to review the document for information exempt from disclosure. (</w:t>
      </w:r>
      <w:r w:rsidR="009F6A32">
        <w:t>A</w:t>
      </w:r>
      <w:r w:rsidR="00C814B3">
        <w:t xml:space="preserve"> frequently cited justification for invoices in the thousands in Florida.) </w:t>
      </w:r>
    </w:p>
    <w:p w14:paraId="7AB114FD" w14:textId="06350059" w:rsidR="00C814B3" w:rsidRDefault="00C814B3" w:rsidP="00457B51">
      <w:pPr>
        <w:spacing w:line="480" w:lineRule="auto"/>
      </w:pPr>
      <w:r>
        <w:lastRenderedPageBreak/>
        <w:tab/>
        <w:t>If the records are not sought for the request</w:t>
      </w:r>
      <w:r w:rsidR="00457B51">
        <w:t>e</w:t>
      </w:r>
      <w:r>
        <w:t>r’s commercial interests and disclosure is in the public interest, a federal agency must waive or limit fees.</w:t>
      </w:r>
      <w:r>
        <w:rPr>
          <w:rStyle w:val="FootnoteReference"/>
        </w:rPr>
        <w:footnoteReference w:id="25"/>
      </w:r>
      <w:r>
        <w:t xml:space="preserve"> Similarly, most states </w:t>
      </w:r>
      <w:r w:rsidR="00246F1B">
        <w:t xml:space="preserve">with fee </w:t>
      </w:r>
      <w:r w:rsidR="00450032">
        <w:t>waive</w:t>
      </w:r>
      <w:r w:rsidR="00246F1B">
        <w:t>rs reduce fees only when requests are made for non-commercial purposes</w:t>
      </w:r>
      <w:r>
        <w:t>.</w:t>
      </w:r>
      <w:r>
        <w:rPr>
          <w:rStyle w:val="FootnoteReference"/>
        </w:rPr>
        <w:footnoteReference w:id="26"/>
      </w:r>
      <w:r>
        <w:t xml:space="preserve"> </w:t>
      </w:r>
    </w:p>
    <w:p w14:paraId="4A6CF2F3" w14:textId="614AF6D5" w:rsidR="00C814B3" w:rsidRDefault="00457B51" w:rsidP="00DA201D">
      <w:pPr>
        <w:spacing w:line="480" w:lineRule="auto"/>
        <w:ind w:firstLine="720"/>
      </w:pPr>
      <w:r>
        <w:t>A r</w:t>
      </w:r>
      <w:r w:rsidR="00C814B3">
        <w:t xml:space="preserve">equest is in the public interest if </w:t>
      </w:r>
      <w:r w:rsidR="00B16F93">
        <w:t>disclosure</w:t>
      </w:r>
      <w:r w:rsidR="00C814B3">
        <w:t xml:space="preserve"> </w:t>
      </w:r>
      <w:r w:rsidR="00B16F93">
        <w:t>“is</w:t>
      </w:r>
      <w:r w:rsidR="00C814B3">
        <w:t xml:space="preserve"> likely contribute significantly to public understanding of the operations or activities of the government</w:t>
      </w:r>
      <w:r w:rsidR="00B16F93">
        <w:t>…</w:t>
      </w:r>
      <w:r w:rsidR="00C814B3">
        <w:t>.</w:t>
      </w:r>
      <w:r w:rsidR="00B16F93">
        <w:t>”</w:t>
      </w:r>
      <w:r w:rsidR="00C814B3">
        <w:rPr>
          <w:rStyle w:val="FootnoteReference"/>
        </w:rPr>
        <w:footnoteReference w:id="27"/>
      </w:r>
      <w:r w:rsidR="00C814B3">
        <w:t xml:space="preserve"> </w:t>
      </w:r>
      <w:r w:rsidR="00A551F9">
        <w:t>The burden is on the request</w:t>
      </w:r>
      <w:r>
        <w:t>e</w:t>
      </w:r>
      <w:r w:rsidR="00A551F9">
        <w:t>r to show with reasonable specificity that disclosure is in the public interest.</w:t>
      </w:r>
      <w:r w:rsidR="00A551F9">
        <w:rPr>
          <w:rStyle w:val="FootnoteReference"/>
        </w:rPr>
        <w:footnoteReference w:id="28"/>
      </w:r>
      <w:r w:rsidR="00A551F9">
        <w:t xml:space="preserve"> </w:t>
      </w:r>
      <w:r w:rsidR="00246F1B">
        <w:t xml:space="preserve">Many states use this </w:t>
      </w:r>
      <w:r w:rsidR="00A551F9">
        <w:t>or a similar definition</w:t>
      </w:r>
      <w:r w:rsidR="00246F1B">
        <w:t xml:space="preserve"> for public interest</w:t>
      </w:r>
      <w:r w:rsidR="00C814B3">
        <w:t>.</w:t>
      </w:r>
      <w:r w:rsidR="00C814B3">
        <w:rPr>
          <w:rStyle w:val="FootnoteReference"/>
        </w:rPr>
        <w:footnoteReference w:id="29"/>
      </w:r>
      <w:r w:rsidR="00C814B3">
        <w:t xml:space="preserve"> Some states provide further guidance. For example, Illinois Freedom of Information Act provides that waiver or reduction serves the public interest “if the principal purpose of the request is to access and disseminate information regarding the health, safety and welfare or the legal rights of the general public.”</w:t>
      </w:r>
      <w:r w:rsidR="00C814B3">
        <w:rPr>
          <w:rStyle w:val="FootnoteReference"/>
        </w:rPr>
        <w:footnoteReference w:id="30"/>
      </w:r>
      <w:r w:rsidR="00C814B3">
        <w:t xml:space="preserve"> </w:t>
      </w:r>
    </w:p>
    <w:p w14:paraId="6D95698D" w14:textId="3A5B1C04" w:rsidR="003370D6" w:rsidRDefault="00C814B3" w:rsidP="00DA201D">
      <w:pPr>
        <w:spacing w:line="480" w:lineRule="auto"/>
        <w:ind w:firstLine="720"/>
      </w:pPr>
      <w:r>
        <w:t>Other state statutes detail the type of request</w:t>
      </w:r>
      <w:r w:rsidR="00457B51">
        <w:t>e</w:t>
      </w:r>
      <w:r>
        <w:t xml:space="preserve">rs that would qualify for a public interest fee waiver. </w:t>
      </w:r>
      <w:r w:rsidR="00450032">
        <w:t>Colorado specifically designates the following as public purpose</w:t>
      </w:r>
      <w:r w:rsidR="00DA201D">
        <w:t>s</w:t>
      </w:r>
      <w:r w:rsidR="00450032">
        <w:t>: public agency program support, nonprofit activities, journalism, and academic research.</w:t>
      </w:r>
      <w:r w:rsidR="00450032">
        <w:rPr>
          <w:rStyle w:val="FootnoteReference"/>
        </w:rPr>
        <w:footnoteReference w:id="31"/>
      </w:r>
      <w:r w:rsidR="00450032">
        <w:t xml:space="preserve"> </w:t>
      </w:r>
      <w:r>
        <w:t>Connecticut</w:t>
      </w:r>
      <w:r w:rsidR="00450032">
        <w:t xml:space="preserve"> </w:t>
      </w:r>
      <w:r>
        <w:t xml:space="preserve">provides a fee waiver for </w:t>
      </w:r>
      <w:r w:rsidR="00450032">
        <w:t xml:space="preserve">certain </w:t>
      </w:r>
      <w:r>
        <w:t>elected officials and public defenders.</w:t>
      </w:r>
      <w:r>
        <w:rPr>
          <w:rStyle w:val="FootnoteReference"/>
        </w:rPr>
        <w:footnoteReference w:id="32"/>
      </w:r>
      <w:r>
        <w:t xml:space="preserve">  </w:t>
      </w:r>
    </w:p>
    <w:p w14:paraId="490A0462" w14:textId="77777777" w:rsidR="00246F1B" w:rsidRDefault="00246F1B" w:rsidP="00246F1B">
      <w:pPr>
        <w:ind w:firstLine="720"/>
      </w:pPr>
    </w:p>
    <w:p w14:paraId="7BA6464F" w14:textId="205B609E" w:rsidR="00450032" w:rsidRDefault="00C814B3" w:rsidP="00DA201D">
      <w:pPr>
        <w:spacing w:line="480" w:lineRule="auto"/>
        <w:ind w:firstLine="720"/>
      </w:pPr>
      <w:r>
        <w:lastRenderedPageBreak/>
        <w:t>Under FOIA, requests from individuals seeking records on themselves generally do not qualify for a fee waiver.</w:t>
      </w:r>
      <w:r>
        <w:rPr>
          <w:rStyle w:val="FootnoteReference"/>
        </w:rPr>
        <w:footnoteReference w:id="33"/>
      </w:r>
      <w:r>
        <w:t xml:space="preserve"> </w:t>
      </w:r>
      <w:r w:rsidR="003370D6">
        <w:t xml:space="preserve">Some states </w:t>
      </w:r>
      <w:r w:rsidR="00B16F93">
        <w:t xml:space="preserve">also </w:t>
      </w:r>
      <w:r w:rsidR="003370D6">
        <w:t xml:space="preserve">clarify that records sought for personal use or for the requester’s interest in litigation </w:t>
      </w:r>
      <w:proofErr w:type="gramStart"/>
      <w:r w:rsidR="003370D6">
        <w:t>are not made in the public interest and, therefore, not entitled to a fee waiver</w:t>
      </w:r>
      <w:proofErr w:type="gramEnd"/>
      <w:r w:rsidR="003370D6">
        <w:t>.</w:t>
      </w:r>
      <w:r w:rsidR="003370D6">
        <w:rPr>
          <w:rStyle w:val="FootnoteReference"/>
        </w:rPr>
        <w:footnoteReference w:id="34"/>
      </w:r>
    </w:p>
    <w:p w14:paraId="49A0E150" w14:textId="3BF095B3" w:rsidR="00450032" w:rsidRDefault="00450032" w:rsidP="003370D6">
      <w:pPr>
        <w:ind w:firstLine="720"/>
      </w:pPr>
    </w:p>
    <w:p w14:paraId="7A2995BA" w14:textId="7BF8A663" w:rsidR="00450032" w:rsidRDefault="00450032" w:rsidP="00450032">
      <w:pPr>
        <w:rPr>
          <w:b/>
          <w:bCs/>
        </w:rPr>
      </w:pPr>
      <w:r>
        <w:rPr>
          <w:b/>
          <w:bCs/>
        </w:rPr>
        <w:t xml:space="preserve">Fee Waiver and Florida Agencies </w:t>
      </w:r>
    </w:p>
    <w:p w14:paraId="17ABD37D" w14:textId="05AC360D" w:rsidR="00450032" w:rsidRDefault="00450032" w:rsidP="00450032"/>
    <w:p w14:paraId="54889CBF" w14:textId="37EF4A3B" w:rsidR="00344F27" w:rsidRDefault="00450032" w:rsidP="005862C0">
      <w:pPr>
        <w:spacing w:line="480" w:lineRule="auto"/>
      </w:pPr>
      <w:r>
        <w:tab/>
        <w:t xml:space="preserve">To </w:t>
      </w:r>
      <w:r w:rsidR="00DA201D">
        <w:t>assess</w:t>
      </w:r>
      <w:r>
        <w:t xml:space="preserve"> how a fee waiver </w:t>
      </w:r>
      <w:r w:rsidR="00B16F93">
        <w:t>might</w:t>
      </w:r>
      <w:r>
        <w:t xml:space="preserve"> affect Florida agencies, I requested the public records logs from </w:t>
      </w:r>
      <w:r w:rsidR="00B16F93">
        <w:t xml:space="preserve">a number of </w:t>
      </w:r>
      <w:r>
        <w:t>state agencies</w:t>
      </w:r>
      <w:r w:rsidR="00B16F93">
        <w:t xml:space="preserve"> </w:t>
      </w:r>
      <w:r>
        <w:t xml:space="preserve">to determine how many requests </w:t>
      </w:r>
      <w:proofErr w:type="gramStart"/>
      <w:r>
        <w:t>were made by for-profit business and individuals seeking their own records compared to journalists, nonprofit</w:t>
      </w:r>
      <w:r w:rsidR="008039A7">
        <w:t>s</w:t>
      </w:r>
      <w:r>
        <w:t xml:space="preserve">, and others who may qualify for a </w:t>
      </w:r>
      <w:r w:rsidR="00B16F93">
        <w:t xml:space="preserve">non-commercial </w:t>
      </w:r>
      <w:r>
        <w:t>fee waiver</w:t>
      </w:r>
      <w:proofErr w:type="gramEnd"/>
      <w:r>
        <w:t xml:space="preserve">. </w:t>
      </w:r>
      <w:r w:rsidR="00344F27">
        <w:t xml:space="preserve">I analyzed the records of </w:t>
      </w:r>
      <w:r w:rsidR="00B16F93">
        <w:t xml:space="preserve">the </w:t>
      </w:r>
      <w:r w:rsidR="00344F27">
        <w:t>Agency for Health Care Administration (AHCA), the Department of Environmental Protection (DEP), the Department of Agriculture and Consumer Services (DACS), and the Department of Lottery (Lottery). These agencies were selected because</w:t>
      </w:r>
      <w:r w:rsidR="00B16F93">
        <w:t xml:space="preserve"> </w:t>
      </w:r>
      <w:r w:rsidR="008039A7">
        <w:t xml:space="preserve">they </w:t>
      </w:r>
      <w:r w:rsidR="008368DB">
        <w:t>provided the information in time and without charge</w:t>
      </w:r>
      <w:r w:rsidR="00E832BE">
        <w:t>. In addition</w:t>
      </w:r>
      <w:r w:rsidR="008368DB">
        <w:t>,</w:t>
      </w:r>
      <w:r w:rsidR="00DA201D">
        <w:t xml:space="preserve"> </w:t>
      </w:r>
      <w:r w:rsidR="005862C0">
        <w:t>the</w:t>
      </w:r>
      <w:r w:rsidR="00344F27">
        <w:t xml:space="preserve"> logs contained enough information to</w:t>
      </w:r>
      <w:r w:rsidR="00E832BE">
        <w:t xml:space="preserve"> determine</w:t>
      </w:r>
      <w:r w:rsidR="00344F27">
        <w:t xml:space="preserve"> the </w:t>
      </w:r>
      <w:r w:rsidR="00E832BE">
        <w:t xml:space="preserve">name and organization or business of the </w:t>
      </w:r>
      <w:r w:rsidR="00344F27">
        <w:t>requester.</w:t>
      </w:r>
      <w:r w:rsidR="00F1491D">
        <w:rPr>
          <w:rStyle w:val="FootnoteReference"/>
        </w:rPr>
        <w:footnoteReference w:id="35"/>
      </w:r>
      <w:r w:rsidR="00344F27">
        <w:t xml:space="preserve"> The logs included</w:t>
      </w:r>
      <w:r>
        <w:t xml:space="preserve"> the name </w:t>
      </w:r>
      <w:r w:rsidR="00246F1B">
        <w:t xml:space="preserve">and </w:t>
      </w:r>
      <w:r>
        <w:t>organization or business of the request</w:t>
      </w:r>
      <w:r w:rsidR="00246F1B">
        <w:t>e</w:t>
      </w:r>
      <w:r>
        <w:t>r</w:t>
      </w:r>
      <w:r w:rsidR="00344F27">
        <w:t xml:space="preserve"> and the requester’s email address</w:t>
      </w:r>
      <w:r>
        <w:t xml:space="preserve">. </w:t>
      </w:r>
    </w:p>
    <w:p w14:paraId="31F5CE97" w14:textId="7ED26F47" w:rsidR="00344F27" w:rsidRDefault="00246F1B" w:rsidP="00FF5E1C">
      <w:pPr>
        <w:spacing w:line="480" w:lineRule="auto"/>
        <w:ind w:firstLine="720"/>
      </w:pPr>
      <w:r>
        <w:t>Except for</w:t>
      </w:r>
      <w:r w:rsidR="00450032">
        <w:t xml:space="preserve"> the </w:t>
      </w:r>
      <w:r w:rsidR="00344F27">
        <w:t>log provided by DACS</w:t>
      </w:r>
      <w:r w:rsidR="00450032">
        <w:t xml:space="preserve">, </w:t>
      </w:r>
      <w:r>
        <w:t xml:space="preserve">each log </w:t>
      </w:r>
      <w:r w:rsidR="00344F27">
        <w:t xml:space="preserve">also </w:t>
      </w:r>
      <w:r w:rsidR="00450032">
        <w:t>included a description of the records requested</w:t>
      </w:r>
      <w:r w:rsidR="00344F27">
        <w:t xml:space="preserve">. The DACS log contained more than 1,000 entries that included </w:t>
      </w:r>
      <w:r w:rsidR="00E832BE">
        <w:t xml:space="preserve">only </w:t>
      </w:r>
      <w:r w:rsidR="00344F27">
        <w:t>a name. Without a description of the requested records, an email, or organization, it was difficult to verify the requester. While I initially labeled these</w:t>
      </w:r>
      <w:r w:rsidR="005862C0">
        <w:t xml:space="preserve"> entries</w:t>
      </w:r>
      <w:r w:rsidR="00344F27">
        <w:t xml:space="preserve"> “individual/uncoded”, I removed these entries to </w:t>
      </w:r>
      <w:r w:rsidR="00344F27">
        <w:lastRenderedPageBreak/>
        <w:t>keep the category of “individual/uncoded” from being skewed</w:t>
      </w:r>
      <w:r w:rsidR="005862C0">
        <w:t xml:space="preserve"> due to the lack of information in the log</w:t>
      </w:r>
      <w:r w:rsidR="00344F27">
        <w:t xml:space="preserve">. </w:t>
      </w:r>
    </w:p>
    <w:p w14:paraId="5AC67365" w14:textId="49E4A652" w:rsidR="00344F27" w:rsidRDefault="00344F27" w:rsidP="005862C0">
      <w:pPr>
        <w:spacing w:line="480" w:lineRule="auto"/>
      </w:pPr>
      <w:r>
        <w:tab/>
        <w:t>Instead of providing a log, the Executive Office of Governor (EOG) provided completed requests</w:t>
      </w:r>
      <w:r w:rsidR="00B16F93">
        <w:t xml:space="preserve">, including </w:t>
      </w:r>
      <w:r>
        <w:t>the name and organization of the requester, the request</w:t>
      </w:r>
      <w:r w:rsidR="005862C0">
        <w:t>er</w:t>
      </w:r>
      <w:r>
        <w:t>’s email or phone number, and information</w:t>
      </w:r>
      <w:r w:rsidR="00B16F93">
        <w:t xml:space="preserve"> sought</w:t>
      </w:r>
      <w:r>
        <w:t xml:space="preserve">. </w:t>
      </w:r>
      <w:r w:rsidR="00C112F6">
        <w:t>T</w:t>
      </w:r>
      <w:r>
        <w:t xml:space="preserve">he results </w:t>
      </w:r>
      <w:r w:rsidR="00A551F9">
        <w:t>may</w:t>
      </w:r>
      <w:r>
        <w:t xml:space="preserve"> not reflect all requests received by the agency. The information from the EOG shows the number of requests the office has answered that would qualify as in the public interest. </w:t>
      </w:r>
    </w:p>
    <w:p w14:paraId="5341A39E" w14:textId="0B4B2CA8" w:rsidR="00450032" w:rsidRDefault="00450032" w:rsidP="00AB28D7">
      <w:pPr>
        <w:spacing w:line="480" w:lineRule="auto"/>
        <w:ind w:firstLine="720"/>
      </w:pPr>
      <w:r>
        <w:t xml:space="preserve">The information </w:t>
      </w:r>
      <w:r w:rsidR="008E4384">
        <w:t>included</w:t>
      </w:r>
      <w:r>
        <w:t xml:space="preserve"> </w:t>
      </w:r>
      <w:r w:rsidR="00344F27">
        <w:t>in the logs is</w:t>
      </w:r>
      <w:r>
        <w:t xml:space="preserve"> from the perspective of the agency, not a requester who may contend the information will be used for non-commercial purposes </w:t>
      </w:r>
      <w:r w:rsidR="005862C0">
        <w:t xml:space="preserve">and disclosure will </w:t>
      </w:r>
      <w:r>
        <w:t xml:space="preserve">benefit the public. </w:t>
      </w:r>
      <w:r w:rsidR="005862C0">
        <w:t>Nonetheless, t</w:t>
      </w:r>
      <w:r>
        <w:t>he dat</w:t>
      </w:r>
      <w:r w:rsidR="005862C0">
        <w:t>a</w:t>
      </w:r>
      <w:r>
        <w:t xml:space="preserve"> indicates how many requests are made by journalists and nonprofit organizations compared to lawyers, lobbyists, and </w:t>
      </w:r>
      <w:r w:rsidR="00A551F9">
        <w:t xml:space="preserve">for-profit </w:t>
      </w:r>
      <w:r w:rsidR="008039A7">
        <w:t>businesses</w:t>
      </w:r>
      <w:r>
        <w:t xml:space="preserve">. The information can be used to determine the </w:t>
      </w:r>
      <w:r w:rsidR="005862C0">
        <w:t>percentage</w:t>
      </w:r>
      <w:r>
        <w:t xml:space="preserve"> of </w:t>
      </w:r>
      <w:r w:rsidR="005862C0">
        <w:t xml:space="preserve">requests </w:t>
      </w:r>
      <w:r w:rsidR="00C112F6">
        <w:t xml:space="preserve">that could qualify </w:t>
      </w:r>
      <w:r w:rsidR="005862C0">
        <w:t xml:space="preserve">for a </w:t>
      </w:r>
      <w:r>
        <w:t>fee waiver</w:t>
      </w:r>
      <w:r w:rsidR="00C112F6">
        <w:t xml:space="preserve"> and </w:t>
      </w:r>
      <w:r>
        <w:t>how an agency would be burden</w:t>
      </w:r>
      <w:r w:rsidR="00A551F9">
        <w:t>ed</w:t>
      </w:r>
      <w:r>
        <w:t xml:space="preserve"> by a fee waiver </w:t>
      </w:r>
      <w:r w:rsidR="00C112F6">
        <w:t>because it could</w:t>
      </w:r>
      <w:r>
        <w:t xml:space="preserve"> not </w:t>
      </w:r>
      <w:r w:rsidR="00AB28D7">
        <w:t>impose a special service charge</w:t>
      </w:r>
      <w:r>
        <w:t xml:space="preserve"> for extensive labor.</w:t>
      </w:r>
      <w:r w:rsidR="009A36DC">
        <w:t xml:space="preserve"> </w:t>
      </w:r>
    </w:p>
    <w:p w14:paraId="16D7921E" w14:textId="09B7B34E" w:rsidR="009A36DC" w:rsidRDefault="009A36DC" w:rsidP="00AB28D7">
      <w:pPr>
        <w:spacing w:line="480" w:lineRule="auto"/>
        <w:ind w:firstLine="720"/>
      </w:pPr>
      <w:r>
        <w:t>A final note on the records provide</w:t>
      </w:r>
      <w:r w:rsidR="0097557E">
        <w:t>d</w:t>
      </w:r>
      <w:r>
        <w:t xml:space="preserve">: DEP’s log included the amount paid, and Lottery’s log included the </w:t>
      </w:r>
      <w:r w:rsidR="00C112F6">
        <w:t xml:space="preserve">agency’s </w:t>
      </w:r>
      <w:r>
        <w:t xml:space="preserve">cost to produce the record. The highest amount paid to DEP was $2,973 by Earthjustice Florida, a nonprofit organization seeking records related to </w:t>
      </w:r>
      <w:r w:rsidR="00681616">
        <w:t xml:space="preserve">permits and the state’s assumption of permitting under the federal Clean Waterways Act. Lottery’s charges were lower than other agencies. The most expensive request cost $484 for </w:t>
      </w:r>
      <w:r w:rsidR="0097557E">
        <w:t>information on lottery games</w:t>
      </w:r>
      <w:r w:rsidR="00E832BE">
        <w:t xml:space="preserve"> and was </w:t>
      </w:r>
      <w:r w:rsidR="0097557E">
        <w:t xml:space="preserve">submitted by an individual. The next two most expensive requests cost $383 and $282 for department contracts and internal audits sought by </w:t>
      </w:r>
      <w:r w:rsidR="008039A7">
        <w:t>reporters</w:t>
      </w:r>
      <w:r w:rsidR="0097557E">
        <w:t xml:space="preserve">.  </w:t>
      </w:r>
    </w:p>
    <w:p w14:paraId="4924F84F" w14:textId="734CFD7C" w:rsidR="00AB28D7" w:rsidRPr="00AB28D7" w:rsidRDefault="006B65B6" w:rsidP="006B65B6">
      <w:pPr>
        <w:spacing w:line="480" w:lineRule="auto"/>
        <w:rPr>
          <w:u w:val="single"/>
        </w:rPr>
      </w:pPr>
      <w:r>
        <w:rPr>
          <w:u w:val="single"/>
        </w:rPr>
        <w:t>Request entitled to Waivers</w:t>
      </w:r>
    </w:p>
    <w:p w14:paraId="00E157EA" w14:textId="160A00A1" w:rsidR="00246F1B" w:rsidRDefault="00AB28D7" w:rsidP="00FF5E1C">
      <w:pPr>
        <w:spacing w:line="480" w:lineRule="auto"/>
        <w:ind w:firstLine="720"/>
      </w:pPr>
      <w:r>
        <w:lastRenderedPageBreak/>
        <w:t>Using the FOIA definition that a request is in the public interest if disclosure will</w:t>
      </w:r>
      <w:r w:rsidR="00A551F9">
        <w:t xml:space="preserve"> likely contribute to the public understanding of the operations of government</w:t>
      </w:r>
      <w:r w:rsidR="00246F1B">
        <w:t xml:space="preserve">, I noted when requests were made by </w:t>
      </w:r>
      <w:r w:rsidR="00574E40">
        <w:t xml:space="preserve">reporters. The label “media” includes requests from journalists at </w:t>
      </w:r>
      <w:r w:rsidR="00246F1B">
        <w:t xml:space="preserve">newspapers, public radio stations, television </w:t>
      </w:r>
      <w:r w:rsidR="003D35A2">
        <w:t xml:space="preserve">news </w:t>
      </w:r>
      <w:r w:rsidR="00246F1B">
        <w:t>stations, websites such as Politico</w:t>
      </w:r>
      <w:r w:rsidR="00574E40">
        <w:t>, nonprofit news outlets such</w:t>
      </w:r>
      <w:r w:rsidR="001C4025">
        <w:t xml:space="preserve"> as</w:t>
      </w:r>
      <w:r w:rsidR="003D35A2">
        <w:t xml:space="preserve"> ProPublica</w:t>
      </w:r>
      <w:r w:rsidR="00574E40">
        <w:t xml:space="preserve"> and The Center for Investigative Reporting</w:t>
      </w:r>
      <w:r w:rsidR="00246F1B">
        <w:t xml:space="preserve">. I did not include bloggers with few followers because these requesters may not be able to </w:t>
      </w:r>
      <w:r>
        <w:t xml:space="preserve">make the information available to the public at </w:t>
      </w:r>
      <w:r w:rsidR="006B65B6">
        <w:t xml:space="preserve">large. </w:t>
      </w:r>
    </w:p>
    <w:p w14:paraId="7BA0479A" w14:textId="2B603CE2" w:rsidR="00A551F9" w:rsidRDefault="00246F1B" w:rsidP="006B65B6">
      <w:pPr>
        <w:spacing w:line="480" w:lineRule="auto"/>
        <w:ind w:firstLine="720"/>
      </w:pPr>
      <w:r>
        <w:t xml:space="preserve">I </w:t>
      </w:r>
      <w:r w:rsidR="00A551F9">
        <w:t xml:space="preserve">also </w:t>
      </w:r>
      <w:r>
        <w:t xml:space="preserve">noted requests made by 501(c)(3) nonprofit organizations, academic institutions, and governmental agencies. </w:t>
      </w:r>
      <w:r w:rsidR="00A551F9">
        <w:t xml:space="preserve">These entities </w:t>
      </w:r>
      <w:r w:rsidR="008E4384">
        <w:t xml:space="preserve">all </w:t>
      </w:r>
      <w:r w:rsidR="00A551F9">
        <w:t>have non-commercial interests</w:t>
      </w:r>
      <w:r w:rsidR="008E4384">
        <w:t xml:space="preserve"> and responsibilities to educate and serve the public.</w:t>
      </w:r>
      <w:r w:rsidR="008E4384">
        <w:rPr>
          <w:rStyle w:val="FootnoteReference"/>
        </w:rPr>
        <w:footnoteReference w:id="36"/>
      </w:r>
      <w:r w:rsidR="008E4384">
        <w:t xml:space="preserve">  </w:t>
      </w:r>
    </w:p>
    <w:p w14:paraId="50AC049C" w14:textId="42B1E4B6" w:rsidR="00246F1B" w:rsidRDefault="00246F1B" w:rsidP="008E4384">
      <w:pPr>
        <w:spacing w:line="480" w:lineRule="auto"/>
        <w:ind w:firstLine="720"/>
      </w:pPr>
      <w:r>
        <w:t xml:space="preserve">I did not consider non-profit organizations seeking their own records – such as a nonprofit hospital seeking complaints about the </w:t>
      </w:r>
      <w:r w:rsidR="008E4384">
        <w:t>facility</w:t>
      </w:r>
      <w:r>
        <w:t xml:space="preserve"> submitted to A</w:t>
      </w:r>
      <w:r w:rsidR="008E4384">
        <w:t xml:space="preserve">HCA </w:t>
      </w:r>
      <w:r>
        <w:t xml:space="preserve">– because this information </w:t>
      </w:r>
      <w:r w:rsidR="00C112F6">
        <w:t>could</w:t>
      </w:r>
      <w:r>
        <w:t xml:space="preserve"> be used for the entity’s </w:t>
      </w:r>
      <w:r w:rsidR="00C112F6">
        <w:t>internal</w:t>
      </w:r>
      <w:r>
        <w:t xml:space="preserve"> use.</w:t>
      </w:r>
      <w:r w:rsidR="00574E40">
        <w:t xml:space="preserve"> While business associations and unions are tax exempt organizations, I did not categorize </w:t>
      </w:r>
      <w:r w:rsidR="00C112F6">
        <w:t>them</w:t>
      </w:r>
      <w:r w:rsidR="00574E40">
        <w:t xml:space="preserve"> as nonprofit</w:t>
      </w:r>
      <w:r w:rsidR="00C112F6">
        <w:t xml:space="preserve">s </w:t>
      </w:r>
      <w:r w:rsidR="00574E40">
        <w:t xml:space="preserve">because their purpose is to promote the interest of members. </w:t>
      </w:r>
    </w:p>
    <w:p w14:paraId="5473129A" w14:textId="7BEAFB8A" w:rsidR="00574E40" w:rsidRDefault="00246F1B" w:rsidP="008E4384">
      <w:pPr>
        <w:spacing w:line="480" w:lineRule="auto"/>
      </w:pPr>
      <w:r>
        <w:tab/>
        <w:t xml:space="preserve">I did not consider a fee waiver for the following requesters: lobbyists, for-profit businesses, consulting firms, insurance </w:t>
      </w:r>
      <w:r w:rsidR="009F6A32">
        <w:t>companies,</w:t>
      </w:r>
      <w:r>
        <w:t xml:space="preserve"> </w:t>
      </w:r>
      <w:proofErr w:type="gramStart"/>
      <w:r w:rsidR="003D35A2">
        <w:t>unions</w:t>
      </w:r>
      <w:proofErr w:type="gramEnd"/>
      <w:r w:rsidR="003D35A2">
        <w:t xml:space="preserve">, </w:t>
      </w:r>
      <w:r>
        <w:t>individuals seeking their own records, anonymous requests, and requests with insufficient information to make a determination</w:t>
      </w:r>
      <w:r w:rsidR="00E832BE">
        <w:t xml:space="preserve"> regarding the requester’s identity or purpose</w:t>
      </w:r>
      <w:r>
        <w:t xml:space="preserve">. I based these categories on the fact that records </w:t>
      </w:r>
      <w:r w:rsidR="008E4384">
        <w:t>would</w:t>
      </w:r>
      <w:r>
        <w:t xml:space="preserve"> be for the commercial interests of the requester</w:t>
      </w:r>
      <w:r w:rsidR="00A9038F">
        <w:t xml:space="preserve"> (or their client)</w:t>
      </w:r>
      <w:r w:rsidR="008E4384">
        <w:t xml:space="preserve"> or the personal interests of an individual.</w:t>
      </w:r>
      <w:r>
        <w:t xml:space="preserve"> </w:t>
      </w:r>
    </w:p>
    <w:p w14:paraId="7557BC4C" w14:textId="2A2FBB74" w:rsidR="00450032" w:rsidRDefault="00574E40" w:rsidP="008E4384">
      <w:pPr>
        <w:spacing w:line="480" w:lineRule="auto"/>
      </w:pPr>
      <w:r>
        <w:lastRenderedPageBreak/>
        <w:tab/>
        <w:t xml:space="preserve">The category “legal” includes lawyers and paralegals in private practice. “For-profit business” includes for-profit companies based on filings available with Florida Department of State or other state </w:t>
      </w:r>
      <w:r w:rsidR="008E4384">
        <w:t xml:space="preserve">business records </w:t>
      </w:r>
      <w:r>
        <w:t>site</w:t>
      </w:r>
      <w:r w:rsidR="00C112F6">
        <w:t>s</w:t>
      </w:r>
      <w:r w:rsidR="00A9038F">
        <w:t xml:space="preserve">. “Insurance” includes businesses </w:t>
      </w:r>
      <w:r w:rsidR="008E4384">
        <w:t xml:space="preserve">primarily </w:t>
      </w:r>
      <w:r w:rsidR="00A9038F">
        <w:t>providing insurance. “Lobbyist</w:t>
      </w:r>
      <w:r w:rsidR="008E4384">
        <w:t>s</w:t>
      </w:r>
      <w:r w:rsidR="00A9038F">
        <w:t xml:space="preserve">” includes individuals or firms with the primary purpose of influencing legislation and government policy. </w:t>
      </w:r>
      <w:r>
        <w:t>“Individual/uncoded” indicates that the requester did not fit into a specific category</w:t>
      </w:r>
      <w:r w:rsidR="00344F27">
        <w:t xml:space="preserve"> or sought records</w:t>
      </w:r>
      <w:r w:rsidR="00C112F6">
        <w:t xml:space="preserve"> about themselves</w:t>
      </w:r>
      <w:r w:rsidR="00344F27">
        <w:t>.</w:t>
      </w:r>
    </w:p>
    <w:p w14:paraId="468E0DEB" w14:textId="7937EF74" w:rsidR="009F6A32" w:rsidRDefault="003D35A2" w:rsidP="00450032">
      <w:r>
        <w:rPr>
          <w:u w:val="single"/>
        </w:rPr>
        <w:t>Results</w:t>
      </w:r>
      <w:r w:rsidR="00574E40">
        <w:t xml:space="preserve"> </w:t>
      </w:r>
    </w:p>
    <w:p w14:paraId="0A2478A9" w14:textId="166FF79D" w:rsidR="003D35A2" w:rsidRDefault="003D35A2" w:rsidP="00450032">
      <w:pPr>
        <w:rPr>
          <w:b/>
          <w:bCs/>
          <w:sz w:val="20"/>
          <w:szCs w:val="20"/>
        </w:rPr>
      </w:pPr>
    </w:p>
    <w:p w14:paraId="607AF6EF" w14:textId="519606DD" w:rsidR="008E4384" w:rsidRPr="008E4384" w:rsidRDefault="008E4384" w:rsidP="008E4384">
      <w:pPr>
        <w:ind w:firstLine="720"/>
        <w:rPr>
          <w:b/>
          <w:bCs/>
          <w:color w:val="000000"/>
          <w:sz w:val="20"/>
          <w:szCs w:val="20"/>
        </w:rPr>
      </w:pPr>
      <w:r>
        <w:rPr>
          <w:b/>
          <w:bCs/>
          <w:color w:val="000000"/>
          <w:sz w:val="20"/>
          <w:szCs w:val="20"/>
        </w:rPr>
        <w:t xml:space="preserve">                                                                                                               ACHA</w:t>
      </w:r>
    </w:p>
    <w:tbl>
      <w:tblPr>
        <w:tblpPr w:leftFromText="180" w:rightFromText="180" w:vertAnchor="text" w:horzAnchor="margin" w:tblpXSpec="right" w:tblpY="183"/>
        <w:tblW w:w="3069" w:type="dxa"/>
        <w:tblLook w:val="04A0" w:firstRow="1" w:lastRow="0" w:firstColumn="1" w:lastColumn="0" w:noHBand="0" w:noVBand="1"/>
      </w:tblPr>
      <w:tblGrid>
        <w:gridCol w:w="1772"/>
        <w:gridCol w:w="1297"/>
      </w:tblGrid>
      <w:tr w:rsidR="008E4384" w:rsidRPr="00344F27" w14:paraId="26C8DE58" w14:textId="77777777" w:rsidTr="008E4384">
        <w:trPr>
          <w:trHeight w:val="275"/>
        </w:trPr>
        <w:tc>
          <w:tcPr>
            <w:tcW w:w="1772" w:type="dxa"/>
            <w:tcBorders>
              <w:top w:val="single" w:sz="4" w:space="0" w:color="D9D9D9"/>
              <w:left w:val="nil"/>
              <w:bottom w:val="single" w:sz="4" w:space="0" w:color="D9D9D9"/>
              <w:right w:val="nil"/>
            </w:tcBorders>
            <w:shd w:val="clear" w:color="auto" w:fill="auto"/>
            <w:noWrap/>
            <w:vAlign w:val="bottom"/>
            <w:hideMark/>
          </w:tcPr>
          <w:p w14:paraId="7B1A3BBD" w14:textId="49679AFA" w:rsidR="008E4384" w:rsidRPr="00344F27" w:rsidRDefault="008E4384" w:rsidP="008E4384">
            <w:pPr>
              <w:rPr>
                <w:color w:val="000000"/>
                <w:sz w:val="20"/>
                <w:szCs w:val="20"/>
              </w:rPr>
            </w:pPr>
            <w:r w:rsidRPr="00344F27">
              <w:rPr>
                <w:color w:val="000000"/>
                <w:sz w:val="20"/>
                <w:szCs w:val="20"/>
              </w:rPr>
              <w:t>Legal</w:t>
            </w:r>
          </w:p>
        </w:tc>
        <w:tc>
          <w:tcPr>
            <w:tcW w:w="1297" w:type="dxa"/>
            <w:tcBorders>
              <w:top w:val="single" w:sz="4" w:space="0" w:color="D9D9D9"/>
              <w:left w:val="nil"/>
              <w:bottom w:val="single" w:sz="4" w:space="0" w:color="D9D9D9"/>
              <w:right w:val="nil"/>
            </w:tcBorders>
            <w:shd w:val="clear" w:color="auto" w:fill="auto"/>
            <w:noWrap/>
            <w:vAlign w:val="bottom"/>
            <w:hideMark/>
          </w:tcPr>
          <w:p w14:paraId="3872CA55" w14:textId="77777777" w:rsidR="008E4384" w:rsidRPr="00344F27" w:rsidRDefault="008E4384" w:rsidP="008E4384">
            <w:pPr>
              <w:jc w:val="right"/>
              <w:rPr>
                <w:color w:val="000000"/>
                <w:sz w:val="20"/>
                <w:szCs w:val="20"/>
              </w:rPr>
            </w:pPr>
            <w:r w:rsidRPr="00344F27">
              <w:rPr>
                <w:color w:val="000000"/>
                <w:sz w:val="20"/>
                <w:szCs w:val="20"/>
              </w:rPr>
              <w:t>2,468</w:t>
            </w:r>
          </w:p>
        </w:tc>
      </w:tr>
      <w:tr w:rsidR="008E4384" w:rsidRPr="00344F27" w14:paraId="31238FD3" w14:textId="77777777" w:rsidTr="008E4384">
        <w:trPr>
          <w:trHeight w:val="275"/>
        </w:trPr>
        <w:tc>
          <w:tcPr>
            <w:tcW w:w="1772" w:type="dxa"/>
            <w:tcBorders>
              <w:top w:val="single" w:sz="4" w:space="0" w:color="D9D9D9"/>
              <w:left w:val="nil"/>
              <w:bottom w:val="single" w:sz="4" w:space="0" w:color="D9D9D9"/>
              <w:right w:val="nil"/>
            </w:tcBorders>
            <w:shd w:val="clear" w:color="auto" w:fill="auto"/>
            <w:noWrap/>
            <w:vAlign w:val="bottom"/>
            <w:hideMark/>
          </w:tcPr>
          <w:p w14:paraId="0306AA0B" w14:textId="77777777" w:rsidR="008E4384" w:rsidRPr="00344F27" w:rsidRDefault="008E4384" w:rsidP="008E4384">
            <w:pPr>
              <w:rPr>
                <w:color w:val="000000"/>
                <w:sz w:val="20"/>
                <w:szCs w:val="20"/>
              </w:rPr>
            </w:pPr>
            <w:r w:rsidRPr="00344F27">
              <w:rPr>
                <w:color w:val="000000"/>
                <w:sz w:val="20"/>
                <w:szCs w:val="20"/>
              </w:rPr>
              <w:t>Individual/uncoded</w:t>
            </w:r>
          </w:p>
        </w:tc>
        <w:tc>
          <w:tcPr>
            <w:tcW w:w="1297" w:type="dxa"/>
            <w:tcBorders>
              <w:top w:val="single" w:sz="4" w:space="0" w:color="D9D9D9"/>
              <w:left w:val="nil"/>
              <w:bottom w:val="single" w:sz="4" w:space="0" w:color="D9D9D9"/>
              <w:right w:val="nil"/>
            </w:tcBorders>
            <w:shd w:val="clear" w:color="auto" w:fill="auto"/>
            <w:noWrap/>
            <w:vAlign w:val="bottom"/>
            <w:hideMark/>
          </w:tcPr>
          <w:p w14:paraId="31B613D5" w14:textId="77777777" w:rsidR="008E4384" w:rsidRPr="00344F27" w:rsidRDefault="008E4384" w:rsidP="008E4384">
            <w:pPr>
              <w:jc w:val="right"/>
              <w:rPr>
                <w:color w:val="000000"/>
                <w:sz w:val="20"/>
                <w:szCs w:val="20"/>
              </w:rPr>
            </w:pPr>
            <w:r w:rsidRPr="00344F27">
              <w:rPr>
                <w:color w:val="000000"/>
                <w:sz w:val="20"/>
                <w:szCs w:val="20"/>
              </w:rPr>
              <w:t>2,306</w:t>
            </w:r>
          </w:p>
        </w:tc>
      </w:tr>
      <w:tr w:rsidR="008E4384" w:rsidRPr="00344F27" w14:paraId="19099848" w14:textId="77777777" w:rsidTr="008E4384">
        <w:trPr>
          <w:trHeight w:val="275"/>
        </w:trPr>
        <w:tc>
          <w:tcPr>
            <w:tcW w:w="1772" w:type="dxa"/>
            <w:tcBorders>
              <w:top w:val="single" w:sz="4" w:space="0" w:color="D9D9D9"/>
              <w:left w:val="nil"/>
              <w:bottom w:val="single" w:sz="4" w:space="0" w:color="D9D9D9"/>
              <w:right w:val="nil"/>
            </w:tcBorders>
            <w:shd w:val="clear" w:color="auto" w:fill="auto"/>
            <w:noWrap/>
            <w:vAlign w:val="bottom"/>
            <w:hideMark/>
          </w:tcPr>
          <w:p w14:paraId="3C515A09" w14:textId="77777777" w:rsidR="008E4384" w:rsidRPr="00344F27" w:rsidRDefault="008E4384" w:rsidP="008E4384">
            <w:pPr>
              <w:rPr>
                <w:color w:val="000000"/>
                <w:sz w:val="20"/>
                <w:szCs w:val="20"/>
              </w:rPr>
            </w:pPr>
            <w:r w:rsidRPr="00344F27">
              <w:rPr>
                <w:color w:val="000000"/>
                <w:sz w:val="20"/>
                <w:szCs w:val="20"/>
              </w:rPr>
              <w:t xml:space="preserve">For-profit business </w:t>
            </w:r>
          </w:p>
        </w:tc>
        <w:tc>
          <w:tcPr>
            <w:tcW w:w="1297" w:type="dxa"/>
            <w:tcBorders>
              <w:top w:val="single" w:sz="4" w:space="0" w:color="D9D9D9"/>
              <w:left w:val="nil"/>
              <w:bottom w:val="single" w:sz="4" w:space="0" w:color="D9D9D9"/>
              <w:right w:val="nil"/>
            </w:tcBorders>
            <w:shd w:val="clear" w:color="auto" w:fill="auto"/>
            <w:noWrap/>
            <w:vAlign w:val="bottom"/>
            <w:hideMark/>
          </w:tcPr>
          <w:p w14:paraId="17F7D095" w14:textId="77777777" w:rsidR="008E4384" w:rsidRPr="00344F27" w:rsidRDefault="008E4384" w:rsidP="008E4384">
            <w:pPr>
              <w:jc w:val="right"/>
              <w:rPr>
                <w:color w:val="000000"/>
                <w:sz w:val="20"/>
                <w:szCs w:val="20"/>
              </w:rPr>
            </w:pPr>
            <w:r w:rsidRPr="00344F27">
              <w:rPr>
                <w:color w:val="000000"/>
                <w:sz w:val="20"/>
                <w:szCs w:val="20"/>
              </w:rPr>
              <w:t>510</w:t>
            </w:r>
          </w:p>
        </w:tc>
      </w:tr>
      <w:tr w:rsidR="008E4384" w:rsidRPr="00344F27" w14:paraId="283E1B74" w14:textId="77777777" w:rsidTr="008E4384">
        <w:trPr>
          <w:trHeight w:val="275"/>
        </w:trPr>
        <w:tc>
          <w:tcPr>
            <w:tcW w:w="1772" w:type="dxa"/>
            <w:tcBorders>
              <w:top w:val="single" w:sz="4" w:space="0" w:color="D9D9D9"/>
              <w:left w:val="nil"/>
              <w:bottom w:val="single" w:sz="4" w:space="0" w:color="D9D9D9"/>
              <w:right w:val="nil"/>
            </w:tcBorders>
            <w:shd w:val="clear" w:color="auto" w:fill="auto"/>
            <w:noWrap/>
            <w:vAlign w:val="bottom"/>
            <w:hideMark/>
          </w:tcPr>
          <w:p w14:paraId="2023C5D2" w14:textId="77777777" w:rsidR="008E4384" w:rsidRPr="00344F27" w:rsidRDefault="008E4384" w:rsidP="008E4384">
            <w:pPr>
              <w:rPr>
                <w:color w:val="000000"/>
                <w:sz w:val="20"/>
                <w:szCs w:val="20"/>
              </w:rPr>
            </w:pPr>
            <w:r w:rsidRPr="00344F27">
              <w:rPr>
                <w:color w:val="000000"/>
                <w:sz w:val="20"/>
                <w:szCs w:val="20"/>
              </w:rPr>
              <w:t>Insurance</w:t>
            </w:r>
          </w:p>
        </w:tc>
        <w:tc>
          <w:tcPr>
            <w:tcW w:w="1297" w:type="dxa"/>
            <w:tcBorders>
              <w:top w:val="single" w:sz="4" w:space="0" w:color="D9D9D9"/>
              <w:left w:val="nil"/>
              <w:bottom w:val="single" w:sz="4" w:space="0" w:color="D9D9D9"/>
              <w:right w:val="nil"/>
            </w:tcBorders>
            <w:shd w:val="clear" w:color="auto" w:fill="auto"/>
            <w:noWrap/>
            <w:vAlign w:val="bottom"/>
            <w:hideMark/>
          </w:tcPr>
          <w:p w14:paraId="1768BD98" w14:textId="77777777" w:rsidR="008E4384" w:rsidRPr="00344F27" w:rsidRDefault="008E4384" w:rsidP="008E4384">
            <w:pPr>
              <w:jc w:val="right"/>
              <w:rPr>
                <w:color w:val="000000"/>
                <w:sz w:val="20"/>
                <w:szCs w:val="20"/>
              </w:rPr>
            </w:pPr>
            <w:r w:rsidRPr="00344F27">
              <w:rPr>
                <w:color w:val="000000"/>
                <w:sz w:val="20"/>
                <w:szCs w:val="20"/>
              </w:rPr>
              <w:t>311</w:t>
            </w:r>
          </w:p>
        </w:tc>
      </w:tr>
      <w:tr w:rsidR="008E4384" w:rsidRPr="00344F27" w14:paraId="043287DA" w14:textId="77777777" w:rsidTr="008E4384">
        <w:trPr>
          <w:trHeight w:val="275"/>
        </w:trPr>
        <w:tc>
          <w:tcPr>
            <w:tcW w:w="1772" w:type="dxa"/>
            <w:tcBorders>
              <w:top w:val="single" w:sz="4" w:space="0" w:color="D9D9D9"/>
              <w:left w:val="nil"/>
              <w:bottom w:val="single" w:sz="4" w:space="0" w:color="D9D9D9"/>
              <w:right w:val="nil"/>
            </w:tcBorders>
            <w:shd w:val="clear" w:color="auto" w:fill="auto"/>
            <w:noWrap/>
            <w:vAlign w:val="bottom"/>
            <w:hideMark/>
          </w:tcPr>
          <w:p w14:paraId="71B0038F" w14:textId="28468D26" w:rsidR="008E4384" w:rsidRPr="00344F27" w:rsidRDefault="008E4384" w:rsidP="008E4384">
            <w:pPr>
              <w:rPr>
                <w:color w:val="000000"/>
                <w:sz w:val="20"/>
                <w:szCs w:val="20"/>
              </w:rPr>
            </w:pPr>
            <w:r w:rsidRPr="00344F27">
              <w:rPr>
                <w:color w:val="000000"/>
                <w:sz w:val="20"/>
                <w:szCs w:val="20"/>
              </w:rPr>
              <w:t>Nonprofit</w:t>
            </w:r>
          </w:p>
        </w:tc>
        <w:tc>
          <w:tcPr>
            <w:tcW w:w="1297" w:type="dxa"/>
            <w:tcBorders>
              <w:top w:val="single" w:sz="4" w:space="0" w:color="D9D9D9"/>
              <w:left w:val="nil"/>
              <w:bottom w:val="single" w:sz="4" w:space="0" w:color="D9D9D9"/>
              <w:right w:val="nil"/>
            </w:tcBorders>
            <w:shd w:val="clear" w:color="auto" w:fill="auto"/>
            <w:noWrap/>
            <w:vAlign w:val="bottom"/>
            <w:hideMark/>
          </w:tcPr>
          <w:p w14:paraId="08857DAA" w14:textId="77777777" w:rsidR="008E4384" w:rsidRPr="00344F27" w:rsidRDefault="008E4384" w:rsidP="008E4384">
            <w:pPr>
              <w:jc w:val="right"/>
              <w:rPr>
                <w:color w:val="000000"/>
                <w:sz w:val="20"/>
                <w:szCs w:val="20"/>
              </w:rPr>
            </w:pPr>
            <w:r w:rsidRPr="00344F27">
              <w:rPr>
                <w:color w:val="000000"/>
                <w:sz w:val="20"/>
                <w:szCs w:val="20"/>
              </w:rPr>
              <w:t>170</w:t>
            </w:r>
          </w:p>
        </w:tc>
      </w:tr>
      <w:tr w:rsidR="008E4384" w:rsidRPr="00344F27" w14:paraId="1AC0E3D8" w14:textId="77777777" w:rsidTr="008E4384">
        <w:trPr>
          <w:trHeight w:val="275"/>
        </w:trPr>
        <w:tc>
          <w:tcPr>
            <w:tcW w:w="1772" w:type="dxa"/>
            <w:tcBorders>
              <w:top w:val="single" w:sz="4" w:space="0" w:color="D9D9D9"/>
              <w:left w:val="nil"/>
              <w:bottom w:val="single" w:sz="4" w:space="0" w:color="D9D9D9"/>
              <w:right w:val="nil"/>
            </w:tcBorders>
            <w:shd w:val="clear" w:color="auto" w:fill="auto"/>
            <w:noWrap/>
            <w:vAlign w:val="bottom"/>
            <w:hideMark/>
          </w:tcPr>
          <w:p w14:paraId="2192664D" w14:textId="77777777" w:rsidR="008E4384" w:rsidRPr="00344F27" w:rsidRDefault="008E4384" w:rsidP="008E4384">
            <w:pPr>
              <w:rPr>
                <w:color w:val="000000"/>
                <w:sz w:val="20"/>
                <w:szCs w:val="20"/>
              </w:rPr>
            </w:pPr>
            <w:r w:rsidRPr="00344F27">
              <w:rPr>
                <w:color w:val="000000"/>
                <w:sz w:val="20"/>
                <w:szCs w:val="20"/>
              </w:rPr>
              <w:t>Media</w:t>
            </w:r>
          </w:p>
        </w:tc>
        <w:tc>
          <w:tcPr>
            <w:tcW w:w="1297" w:type="dxa"/>
            <w:tcBorders>
              <w:top w:val="single" w:sz="4" w:space="0" w:color="D9D9D9"/>
              <w:left w:val="nil"/>
              <w:bottom w:val="single" w:sz="4" w:space="0" w:color="D9D9D9"/>
              <w:right w:val="nil"/>
            </w:tcBorders>
            <w:shd w:val="clear" w:color="auto" w:fill="auto"/>
            <w:noWrap/>
            <w:vAlign w:val="bottom"/>
            <w:hideMark/>
          </w:tcPr>
          <w:p w14:paraId="086B62FB" w14:textId="77777777" w:rsidR="008E4384" w:rsidRPr="00344F27" w:rsidRDefault="008E4384" w:rsidP="008E4384">
            <w:pPr>
              <w:jc w:val="right"/>
              <w:rPr>
                <w:color w:val="000000"/>
                <w:sz w:val="20"/>
                <w:szCs w:val="20"/>
              </w:rPr>
            </w:pPr>
            <w:r w:rsidRPr="00344F27">
              <w:rPr>
                <w:color w:val="000000"/>
                <w:sz w:val="20"/>
                <w:szCs w:val="20"/>
              </w:rPr>
              <w:t>153</w:t>
            </w:r>
          </w:p>
        </w:tc>
      </w:tr>
      <w:tr w:rsidR="008E4384" w:rsidRPr="00344F27" w14:paraId="3C705699" w14:textId="77777777" w:rsidTr="008E4384">
        <w:trPr>
          <w:trHeight w:val="275"/>
        </w:trPr>
        <w:tc>
          <w:tcPr>
            <w:tcW w:w="1772" w:type="dxa"/>
            <w:tcBorders>
              <w:top w:val="single" w:sz="4" w:space="0" w:color="D9D9D9"/>
              <w:left w:val="nil"/>
              <w:bottom w:val="single" w:sz="4" w:space="0" w:color="D9D9D9"/>
              <w:right w:val="nil"/>
            </w:tcBorders>
            <w:shd w:val="clear" w:color="auto" w:fill="auto"/>
            <w:noWrap/>
            <w:vAlign w:val="bottom"/>
            <w:hideMark/>
          </w:tcPr>
          <w:p w14:paraId="74F192D5" w14:textId="77777777" w:rsidR="008E4384" w:rsidRPr="00344F27" w:rsidRDefault="008E4384" w:rsidP="008E4384">
            <w:pPr>
              <w:rPr>
                <w:color w:val="000000"/>
                <w:sz w:val="20"/>
                <w:szCs w:val="20"/>
              </w:rPr>
            </w:pPr>
            <w:r w:rsidRPr="00344F27">
              <w:rPr>
                <w:color w:val="000000"/>
                <w:sz w:val="20"/>
                <w:szCs w:val="20"/>
              </w:rPr>
              <w:t xml:space="preserve">Government </w:t>
            </w:r>
          </w:p>
        </w:tc>
        <w:tc>
          <w:tcPr>
            <w:tcW w:w="1297" w:type="dxa"/>
            <w:tcBorders>
              <w:top w:val="single" w:sz="4" w:space="0" w:color="D9D9D9"/>
              <w:left w:val="nil"/>
              <w:bottom w:val="single" w:sz="4" w:space="0" w:color="D9D9D9"/>
              <w:right w:val="nil"/>
            </w:tcBorders>
            <w:shd w:val="clear" w:color="auto" w:fill="auto"/>
            <w:noWrap/>
            <w:vAlign w:val="bottom"/>
            <w:hideMark/>
          </w:tcPr>
          <w:p w14:paraId="729AEC83" w14:textId="77777777" w:rsidR="008E4384" w:rsidRPr="00344F27" w:rsidRDefault="008E4384" w:rsidP="008E4384">
            <w:pPr>
              <w:jc w:val="right"/>
              <w:rPr>
                <w:color w:val="000000"/>
                <w:sz w:val="20"/>
                <w:szCs w:val="20"/>
              </w:rPr>
            </w:pPr>
            <w:r w:rsidRPr="00344F27">
              <w:rPr>
                <w:color w:val="000000"/>
                <w:sz w:val="20"/>
                <w:szCs w:val="20"/>
              </w:rPr>
              <w:t>90</w:t>
            </w:r>
          </w:p>
        </w:tc>
      </w:tr>
      <w:tr w:rsidR="008E4384" w:rsidRPr="00344F27" w14:paraId="519EFEFD" w14:textId="77777777" w:rsidTr="008E4384">
        <w:trPr>
          <w:trHeight w:val="275"/>
        </w:trPr>
        <w:tc>
          <w:tcPr>
            <w:tcW w:w="1772" w:type="dxa"/>
            <w:tcBorders>
              <w:top w:val="single" w:sz="4" w:space="0" w:color="D9D9D9"/>
              <w:left w:val="nil"/>
              <w:bottom w:val="single" w:sz="4" w:space="0" w:color="D9D9D9"/>
              <w:right w:val="nil"/>
            </w:tcBorders>
            <w:shd w:val="clear" w:color="auto" w:fill="auto"/>
            <w:noWrap/>
            <w:vAlign w:val="bottom"/>
            <w:hideMark/>
          </w:tcPr>
          <w:p w14:paraId="3CB712E9" w14:textId="77777777" w:rsidR="008E4384" w:rsidRPr="00344F27" w:rsidRDefault="008E4384" w:rsidP="008E4384">
            <w:pPr>
              <w:rPr>
                <w:color w:val="000000"/>
                <w:sz w:val="20"/>
                <w:szCs w:val="20"/>
              </w:rPr>
            </w:pPr>
            <w:r w:rsidRPr="00344F27">
              <w:rPr>
                <w:color w:val="000000"/>
                <w:sz w:val="20"/>
                <w:szCs w:val="20"/>
              </w:rPr>
              <w:t>Academic</w:t>
            </w:r>
          </w:p>
        </w:tc>
        <w:tc>
          <w:tcPr>
            <w:tcW w:w="1297" w:type="dxa"/>
            <w:tcBorders>
              <w:top w:val="single" w:sz="4" w:space="0" w:color="D9D9D9"/>
              <w:left w:val="nil"/>
              <w:bottom w:val="single" w:sz="4" w:space="0" w:color="D9D9D9"/>
              <w:right w:val="nil"/>
            </w:tcBorders>
            <w:shd w:val="clear" w:color="auto" w:fill="auto"/>
            <w:noWrap/>
            <w:vAlign w:val="bottom"/>
            <w:hideMark/>
          </w:tcPr>
          <w:p w14:paraId="565D3AA0" w14:textId="77777777" w:rsidR="008E4384" w:rsidRPr="00344F27" w:rsidRDefault="008E4384" w:rsidP="008E4384">
            <w:pPr>
              <w:jc w:val="right"/>
              <w:rPr>
                <w:color w:val="000000"/>
                <w:sz w:val="20"/>
                <w:szCs w:val="20"/>
              </w:rPr>
            </w:pPr>
            <w:r w:rsidRPr="00344F27">
              <w:rPr>
                <w:color w:val="000000"/>
                <w:sz w:val="20"/>
                <w:szCs w:val="20"/>
              </w:rPr>
              <w:t>27</w:t>
            </w:r>
          </w:p>
        </w:tc>
      </w:tr>
      <w:tr w:rsidR="008E4384" w:rsidRPr="00344F27" w14:paraId="7E165525" w14:textId="77777777" w:rsidTr="008E4384">
        <w:trPr>
          <w:trHeight w:val="275"/>
        </w:trPr>
        <w:tc>
          <w:tcPr>
            <w:tcW w:w="1772" w:type="dxa"/>
            <w:tcBorders>
              <w:top w:val="single" w:sz="4" w:space="0" w:color="D9D9D9"/>
              <w:left w:val="nil"/>
              <w:bottom w:val="single" w:sz="4" w:space="0" w:color="D9D9D9"/>
              <w:right w:val="nil"/>
            </w:tcBorders>
            <w:shd w:val="clear" w:color="auto" w:fill="auto"/>
            <w:noWrap/>
            <w:vAlign w:val="bottom"/>
            <w:hideMark/>
          </w:tcPr>
          <w:p w14:paraId="5BA91B35" w14:textId="77777777" w:rsidR="008E4384" w:rsidRPr="00344F27" w:rsidRDefault="008E4384" w:rsidP="008E4384">
            <w:pPr>
              <w:rPr>
                <w:color w:val="000000"/>
                <w:sz w:val="20"/>
                <w:szCs w:val="20"/>
              </w:rPr>
            </w:pPr>
            <w:r w:rsidRPr="00344F27">
              <w:rPr>
                <w:color w:val="000000"/>
                <w:sz w:val="20"/>
                <w:szCs w:val="20"/>
              </w:rPr>
              <w:t>Lobbyist</w:t>
            </w:r>
            <w:r>
              <w:rPr>
                <w:color w:val="000000"/>
                <w:sz w:val="20"/>
                <w:szCs w:val="20"/>
              </w:rPr>
              <w:t>s</w:t>
            </w:r>
          </w:p>
        </w:tc>
        <w:tc>
          <w:tcPr>
            <w:tcW w:w="1297" w:type="dxa"/>
            <w:tcBorders>
              <w:top w:val="single" w:sz="4" w:space="0" w:color="D9D9D9"/>
              <w:left w:val="nil"/>
              <w:bottom w:val="single" w:sz="4" w:space="0" w:color="D9D9D9"/>
              <w:right w:val="nil"/>
            </w:tcBorders>
            <w:shd w:val="clear" w:color="auto" w:fill="auto"/>
            <w:noWrap/>
            <w:vAlign w:val="bottom"/>
            <w:hideMark/>
          </w:tcPr>
          <w:p w14:paraId="01859E4B" w14:textId="77777777" w:rsidR="008E4384" w:rsidRPr="00344F27" w:rsidRDefault="008E4384" w:rsidP="008E4384">
            <w:pPr>
              <w:jc w:val="right"/>
              <w:rPr>
                <w:color w:val="000000"/>
                <w:sz w:val="20"/>
                <w:szCs w:val="20"/>
              </w:rPr>
            </w:pPr>
            <w:r w:rsidRPr="00344F27">
              <w:rPr>
                <w:color w:val="000000"/>
                <w:sz w:val="20"/>
                <w:szCs w:val="20"/>
              </w:rPr>
              <w:t>11</w:t>
            </w:r>
          </w:p>
        </w:tc>
      </w:tr>
      <w:tr w:rsidR="008E4384" w:rsidRPr="00344F27" w14:paraId="23536CE9" w14:textId="77777777" w:rsidTr="008E4384">
        <w:trPr>
          <w:trHeight w:val="275"/>
        </w:trPr>
        <w:tc>
          <w:tcPr>
            <w:tcW w:w="1772" w:type="dxa"/>
            <w:tcBorders>
              <w:top w:val="single" w:sz="4" w:space="0" w:color="D9D9D9"/>
              <w:left w:val="nil"/>
              <w:bottom w:val="single" w:sz="4" w:space="0" w:color="D9D9D9"/>
              <w:right w:val="nil"/>
            </w:tcBorders>
            <w:shd w:val="clear" w:color="auto" w:fill="auto"/>
            <w:noWrap/>
            <w:vAlign w:val="bottom"/>
            <w:hideMark/>
          </w:tcPr>
          <w:p w14:paraId="39CD6B99" w14:textId="77777777" w:rsidR="008E4384" w:rsidRPr="00344F27" w:rsidRDefault="008E4384" w:rsidP="008E4384">
            <w:pPr>
              <w:rPr>
                <w:color w:val="000000"/>
                <w:sz w:val="20"/>
                <w:szCs w:val="20"/>
              </w:rPr>
            </w:pPr>
            <w:r w:rsidRPr="00344F27">
              <w:rPr>
                <w:color w:val="000000"/>
                <w:sz w:val="20"/>
                <w:szCs w:val="20"/>
              </w:rPr>
              <w:t>Union</w:t>
            </w:r>
          </w:p>
        </w:tc>
        <w:tc>
          <w:tcPr>
            <w:tcW w:w="1297" w:type="dxa"/>
            <w:tcBorders>
              <w:top w:val="single" w:sz="4" w:space="0" w:color="D9D9D9"/>
              <w:left w:val="nil"/>
              <w:bottom w:val="single" w:sz="4" w:space="0" w:color="D9D9D9"/>
              <w:right w:val="nil"/>
            </w:tcBorders>
            <w:shd w:val="clear" w:color="auto" w:fill="auto"/>
            <w:noWrap/>
            <w:vAlign w:val="bottom"/>
            <w:hideMark/>
          </w:tcPr>
          <w:p w14:paraId="18A5950A" w14:textId="77777777" w:rsidR="008E4384" w:rsidRPr="00344F27" w:rsidRDefault="008E4384" w:rsidP="008E4384">
            <w:pPr>
              <w:jc w:val="right"/>
              <w:rPr>
                <w:color w:val="000000"/>
                <w:sz w:val="20"/>
                <w:szCs w:val="20"/>
              </w:rPr>
            </w:pPr>
            <w:r w:rsidRPr="00344F27">
              <w:rPr>
                <w:color w:val="000000"/>
                <w:sz w:val="20"/>
                <w:szCs w:val="20"/>
              </w:rPr>
              <w:t>3</w:t>
            </w:r>
          </w:p>
        </w:tc>
      </w:tr>
      <w:tr w:rsidR="008E4384" w:rsidRPr="00344F27" w14:paraId="07437344" w14:textId="77777777" w:rsidTr="008E4384">
        <w:trPr>
          <w:trHeight w:val="275"/>
        </w:trPr>
        <w:tc>
          <w:tcPr>
            <w:tcW w:w="1772" w:type="dxa"/>
            <w:tcBorders>
              <w:top w:val="single" w:sz="4" w:space="0" w:color="808080"/>
              <w:left w:val="nil"/>
              <w:bottom w:val="single" w:sz="4" w:space="0" w:color="808080"/>
              <w:right w:val="nil"/>
            </w:tcBorders>
            <w:shd w:val="clear" w:color="FFFFFF" w:fill="FFFFFF"/>
            <w:noWrap/>
            <w:vAlign w:val="bottom"/>
            <w:hideMark/>
          </w:tcPr>
          <w:p w14:paraId="5285FD09" w14:textId="77777777" w:rsidR="008E4384" w:rsidRPr="00344F27" w:rsidRDefault="008E4384" w:rsidP="008E4384">
            <w:pPr>
              <w:rPr>
                <w:b/>
                <w:bCs/>
                <w:color w:val="000000"/>
                <w:sz w:val="20"/>
                <w:szCs w:val="20"/>
              </w:rPr>
            </w:pPr>
            <w:r w:rsidRPr="00344F27">
              <w:rPr>
                <w:b/>
                <w:bCs/>
                <w:color w:val="000000"/>
                <w:sz w:val="20"/>
                <w:szCs w:val="20"/>
              </w:rPr>
              <w:t>Total</w:t>
            </w:r>
          </w:p>
        </w:tc>
        <w:tc>
          <w:tcPr>
            <w:tcW w:w="1297" w:type="dxa"/>
            <w:tcBorders>
              <w:top w:val="single" w:sz="4" w:space="0" w:color="808080"/>
              <w:left w:val="nil"/>
              <w:bottom w:val="single" w:sz="4" w:space="0" w:color="808080"/>
              <w:right w:val="nil"/>
            </w:tcBorders>
            <w:shd w:val="clear" w:color="FFFFFF" w:fill="FFFFFF"/>
            <w:noWrap/>
            <w:vAlign w:val="bottom"/>
            <w:hideMark/>
          </w:tcPr>
          <w:p w14:paraId="79492CAA" w14:textId="77777777" w:rsidR="008E4384" w:rsidRPr="00344F27" w:rsidRDefault="008E4384" w:rsidP="008E4384">
            <w:pPr>
              <w:jc w:val="right"/>
              <w:rPr>
                <w:b/>
                <w:bCs/>
                <w:color w:val="000000"/>
                <w:sz w:val="20"/>
                <w:szCs w:val="20"/>
              </w:rPr>
            </w:pPr>
            <w:r w:rsidRPr="00344F27">
              <w:rPr>
                <w:b/>
                <w:bCs/>
                <w:color w:val="000000"/>
                <w:sz w:val="20"/>
                <w:szCs w:val="20"/>
              </w:rPr>
              <w:t>6,049</w:t>
            </w:r>
          </w:p>
        </w:tc>
      </w:tr>
    </w:tbl>
    <w:p w14:paraId="07BD8BE3" w14:textId="64A79DBC" w:rsidR="003D35A2" w:rsidRDefault="00344F27" w:rsidP="00450032">
      <w:r>
        <w:rPr>
          <w:noProof/>
        </w:rPr>
        <w:drawing>
          <wp:inline distT="0" distB="0" distL="0" distR="0" wp14:anchorId="0D5B282A" wp14:editId="415DD726">
            <wp:extent cx="3339465" cy="3355340"/>
            <wp:effectExtent l="0" t="0" r="13335" b="10160"/>
            <wp:docPr id="1" name="Chart 1">
              <a:extLst xmlns:a="http://schemas.openxmlformats.org/drawingml/2006/main">
                <a:ext uri="{FF2B5EF4-FFF2-40B4-BE49-F238E27FC236}">
                  <a16:creationId xmlns:a16="http://schemas.microsoft.com/office/drawing/2014/main" id="{2A49F1C9-7611-FF43-9307-EB0EF41F71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43962DE" w14:textId="5E95D686" w:rsidR="003D35A2" w:rsidRDefault="003D35A2" w:rsidP="00450032"/>
    <w:p w14:paraId="5A92BAA5" w14:textId="5552E7D8" w:rsidR="00E27E0B" w:rsidRDefault="00E27E0B" w:rsidP="00450032"/>
    <w:p w14:paraId="68952CBF" w14:textId="550439F4" w:rsidR="00587FB1" w:rsidRDefault="00587FB1" w:rsidP="00450032"/>
    <w:p w14:paraId="1E3018AA" w14:textId="362EEF20" w:rsidR="00587FB1" w:rsidRDefault="00587FB1" w:rsidP="00450032"/>
    <w:p w14:paraId="41986F66" w14:textId="2F3A3DC8" w:rsidR="00587FB1" w:rsidRDefault="00587FB1" w:rsidP="00450032"/>
    <w:p w14:paraId="6860DF8B" w14:textId="676CD90C" w:rsidR="00587FB1" w:rsidRDefault="00587FB1" w:rsidP="00450032"/>
    <w:p w14:paraId="55CF7D5F" w14:textId="0822CF8F" w:rsidR="00587FB1" w:rsidRDefault="00587FB1" w:rsidP="00450032"/>
    <w:p w14:paraId="3A8153E7" w14:textId="0E7C8C2E" w:rsidR="00C112F6" w:rsidRDefault="00C112F6" w:rsidP="00450032"/>
    <w:p w14:paraId="5B1A6A38" w14:textId="1F69D850" w:rsidR="00C112F6" w:rsidRDefault="00C112F6" w:rsidP="00450032"/>
    <w:p w14:paraId="3A9C331B" w14:textId="15615593" w:rsidR="00C112F6" w:rsidRDefault="00C112F6" w:rsidP="00450032"/>
    <w:p w14:paraId="521C95CF" w14:textId="2DAC02E3" w:rsidR="00C112F6" w:rsidRDefault="00C112F6" w:rsidP="00450032"/>
    <w:p w14:paraId="3AF78C64" w14:textId="45D1AE92" w:rsidR="00C112F6" w:rsidRDefault="00C112F6" w:rsidP="00450032"/>
    <w:p w14:paraId="1822F381" w14:textId="0FE454E3" w:rsidR="00C112F6" w:rsidRDefault="00C112F6" w:rsidP="00450032"/>
    <w:p w14:paraId="459944B5" w14:textId="23EDAF18" w:rsidR="00C112F6" w:rsidRDefault="00C112F6" w:rsidP="00450032"/>
    <w:p w14:paraId="7062EF4D" w14:textId="5ED05AD7" w:rsidR="00C112F6" w:rsidRDefault="00C112F6" w:rsidP="00450032">
      <w:r>
        <w:tab/>
      </w:r>
      <w:r>
        <w:tab/>
      </w:r>
      <w:r>
        <w:tab/>
      </w:r>
      <w:r>
        <w:tab/>
      </w:r>
      <w:r>
        <w:tab/>
      </w:r>
      <w:r>
        <w:tab/>
      </w:r>
      <w:r>
        <w:tab/>
      </w:r>
      <w:r>
        <w:tab/>
        <w:t xml:space="preserve">    </w:t>
      </w:r>
      <w:r>
        <w:rPr>
          <w:b/>
          <w:bCs/>
        </w:rPr>
        <w:t>DEP</w:t>
      </w:r>
      <w:r>
        <w:tab/>
      </w:r>
    </w:p>
    <w:tbl>
      <w:tblPr>
        <w:tblpPr w:leftFromText="180" w:rightFromText="180" w:vertAnchor="text" w:horzAnchor="margin" w:tblpXSpec="right" w:tblpY="495"/>
        <w:tblW w:w="3356" w:type="dxa"/>
        <w:tblLook w:val="04A0" w:firstRow="1" w:lastRow="0" w:firstColumn="1" w:lastColumn="0" w:noHBand="0" w:noVBand="1"/>
      </w:tblPr>
      <w:tblGrid>
        <w:gridCol w:w="1976"/>
        <w:gridCol w:w="1380"/>
      </w:tblGrid>
      <w:tr w:rsidR="00587FB1" w:rsidRPr="00344F27" w14:paraId="2EFA813B" w14:textId="77777777" w:rsidTr="00C112F6">
        <w:trPr>
          <w:trHeight w:val="300"/>
        </w:trPr>
        <w:tc>
          <w:tcPr>
            <w:tcW w:w="1976" w:type="dxa"/>
            <w:tcBorders>
              <w:top w:val="single" w:sz="4" w:space="0" w:color="D9D9D9"/>
              <w:left w:val="nil"/>
              <w:bottom w:val="single" w:sz="4" w:space="0" w:color="D9D9D9"/>
              <w:right w:val="nil"/>
            </w:tcBorders>
            <w:shd w:val="clear" w:color="auto" w:fill="auto"/>
            <w:noWrap/>
            <w:vAlign w:val="bottom"/>
            <w:hideMark/>
          </w:tcPr>
          <w:p w14:paraId="1DC71D3C" w14:textId="77777777" w:rsidR="00587FB1" w:rsidRPr="008E4384" w:rsidRDefault="00587FB1" w:rsidP="00C112F6">
            <w:pPr>
              <w:rPr>
                <w:color w:val="000000"/>
                <w:sz w:val="20"/>
                <w:szCs w:val="20"/>
              </w:rPr>
            </w:pPr>
            <w:r w:rsidRPr="008E4384">
              <w:rPr>
                <w:color w:val="000000"/>
                <w:sz w:val="20"/>
                <w:szCs w:val="20"/>
              </w:rPr>
              <w:t>For-profit business</w:t>
            </w:r>
          </w:p>
        </w:tc>
        <w:tc>
          <w:tcPr>
            <w:tcW w:w="1380" w:type="dxa"/>
            <w:tcBorders>
              <w:top w:val="single" w:sz="4" w:space="0" w:color="D9D9D9"/>
              <w:left w:val="nil"/>
              <w:bottom w:val="single" w:sz="4" w:space="0" w:color="D9D9D9"/>
              <w:right w:val="nil"/>
            </w:tcBorders>
            <w:shd w:val="clear" w:color="auto" w:fill="auto"/>
            <w:noWrap/>
            <w:vAlign w:val="bottom"/>
            <w:hideMark/>
          </w:tcPr>
          <w:p w14:paraId="7AB93A32" w14:textId="77777777" w:rsidR="00587FB1" w:rsidRPr="008E4384" w:rsidRDefault="00587FB1" w:rsidP="00C112F6">
            <w:pPr>
              <w:jc w:val="right"/>
              <w:rPr>
                <w:color w:val="000000"/>
                <w:sz w:val="20"/>
                <w:szCs w:val="20"/>
              </w:rPr>
            </w:pPr>
            <w:r w:rsidRPr="008E4384">
              <w:rPr>
                <w:color w:val="000000"/>
                <w:sz w:val="20"/>
                <w:szCs w:val="20"/>
              </w:rPr>
              <w:t>3,955</w:t>
            </w:r>
          </w:p>
        </w:tc>
      </w:tr>
      <w:tr w:rsidR="00587FB1" w:rsidRPr="00344F27" w14:paraId="3B649E5E" w14:textId="77777777" w:rsidTr="00C112F6">
        <w:trPr>
          <w:trHeight w:val="300"/>
        </w:trPr>
        <w:tc>
          <w:tcPr>
            <w:tcW w:w="1976" w:type="dxa"/>
            <w:tcBorders>
              <w:top w:val="single" w:sz="4" w:space="0" w:color="D9D9D9"/>
              <w:left w:val="nil"/>
              <w:bottom w:val="single" w:sz="4" w:space="0" w:color="D9D9D9"/>
              <w:right w:val="nil"/>
            </w:tcBorders>
            <w:shd w:val="clear" w:color="auto" w:fill="auto"/>
            <w:noWrap/>
            <w:vAlign w:val="bottom"/>
            <w:hideMark/>
          </w:tcPr>
          <w:p w14:paraId="5B3C9205" w14:textId="77777777" w:rsidR="00587FB1" w:rsidRPr="008E4384" w:rsidRDefault="00587FB1" w:rsidP="00C112F6">
            <w:pPr>
              <w:rPr>
                <w:color w:val="000000"/>
                <w:sz w:val="20"/>
                <w:szCs w:val="20"/>
              </w:rPr>
            </w:pPr>
            <w:r w:rsidRPr="008E4384">
              <w:rPr>
                <w:color w:val="000000"/>
                <w:sz w:val="20"/>
                <w:szCs w:val="20"/>
              </w:rPr>
              <w:t>Individual/Uncoded</w:t>
            </w:r>
          </w:p>
        </w:tc>
        <w:tc>
          <w:tcPr>
            <w:tcW w:w="1380" w:type="dxa"/>
            <w:tcBorders>
              <w:top w:val="single" w:sz="4" w:space="0" w:color="D9D9D9"/>
              <w:left w:val="nil"/>
              <w:bottom w:val="single" w:sz="4" w:space="0" w:color="D9D9D9"/>
              <w:right w:val="nil"/>
            </w:tcBorders>
            <w:shd w:val="clear" w:color="auto" w:fill="auto"/>
            <w:noWrap/>
            <w:vAlign w:val="bottom"/>
            <w:hideMark/>
          </w:tcPr>
          <w:p w14:paraId="3DBA9EA3" w14:textId="77777777" w:rsidR="00587FB1" w:rsidRPr="008E4384" w:rsidRDefault="00587FB1" w:rsidP="00C112F6">
            <w:pPr>
              <w:jc w:val="right"/>
              <w:rPr>
                <w:color w:val="000000"/>
                <w:sz w:val="20"/>
                <w:szCs w:val="20"/>
              </w:rPr>
            </w:pPr>
            <w:r w:rsidRPr="008E4384">
              <w:rPr>
                <w:color w:val="000000"/>
                <w:sz w:val="20"/>
                <w:szCs w:val="20"/>
              </w:rPr>
              <w:t>930</w:t>
            </w:r>
          </w:p>
        </w:tc>
      </w:tr>
      <w:tr w:rsidR="00587FB1" w:rsidRPr="00344F27" w14:paraId="6A742521" w14:textId="77777777" w:rsidTr="00C112F6">
        <w:trPr>
          <w:trHeight w:val="300"/>
        </w:trPr>
        <w:tc>
          <w:tcPr>
            <w:tcW w:w="1976" w:type="dxa"/>
            <w:tcBorders>
              <w:top w:val="single" w:sz="4" w:space="0" w:color="D9D9D9"/>
              <w:left w:val="nil"/>
              <w:bottom w:val="single" w:sz="4" w:space="0" w:color="D9D9D9"/>
              <w:right w:val="nil"/>
            </w:tcBorders>
            <w:shd w:val="clear" w:color="auto" w:fill="auto"/>
            <w:noWrap/>
            <w:vAlign w:val="bottom"/>
            <w:hideMark/>
          </w:tcPr>
          <w:p w14:paraId="1E1C5D1C" w14:textId="77777777" w:rsidR="00587FB1" w:rsidRPr="008E4384" w:rsidRDefault="00587FB1" w:rsidP="00C112F6">
            <w:pPr>
              <w:rPr>
                <w:color w:val="000000"/>
                <w:sz w:val="20"/>
                <w:szCs w:val="20"/>
              </w:rPr>
            </w:pPr>
            <w:r w:rsidRPr="008E4384">
              <w:rPr>
                <w:color w:val="000000"/>
                <w:sz w:val="20"/>
                <w:szCs w:val="20"/>
              </w:rPr>
              <w:t>Legal</w:t>
            </w:r>
          </w:p>
        </w:tc>
        <w:tc>
          <w:tcPr>
            <w:tcW w:w="1380" w:type="dxa"/>
            <w:tcBorders>
              <w:top w:val="single" w:sz="4" w:space="0" w:color="D9D9D9"/>
              <w:left w:val="nil"/>
              <w:bottom w:val="single" w:sz="4" w:space="0" w:color="D9D9D9"/>
              <w:right w:val="nil"/>
            </w:tcBorders>
            <w:shd w:val="clear" w:color="auto" w:fill="auto"/>
            <w:noWrap/>
            <w:vAlign w:val="bottom"/>
            <w:hideMark/>
          </w:tcPr>
          <w:p w14:paraId="412CB04C" w14:textId="77777777" w:rsidR="00587FB1" w:rsidRPr="008E4384" w:rsidRDefault="00587FB1" w:rsidP="00C112F6">
            <w:pPr>
              <w:jc w:val="right"/>
              <w:rPr>
                <w:color w:val="000000"/>
                <w:sz w:val="20"/>
                <w:szCs w:val="20"/>
              </w:rPr>
            </w:pPr>
            <w:r w:rsidRPr="008E4384">
              <w:rPr>
                <w:color w:val="000000"/>
                <w:sz w:val="20"/>
                <w:szCs w:val="20"/>
              </w:rPr>
              <w:t>453</w:t>
            </w:r>
          </w:p>
        </w:tc>
      </w:tr>
      <w:tr w:rsidR="00587FB1" w:rsidRPr="00344F27" w14:paraId="19A63058" w14:textId="77777777" w:rsidTr="00C112F6">
        <w:trPr>
          <w:trHeight w:val="300"/>
        </w:trPr>
        <w:tc>
          <w:tcPr>
            <w:tcW w:w="1976" w:type="dxa"/>
            <w:tcBorders>
              <w:top w:val="single" w:sz="4" w:space="0" w:color="D9D9D9"/>
              <w:left w:val="nil"/>
              <w:bottom w:val="single" w:sz="4" w:space="0" w:color="D9D9D9"/>
              <w:right w:val="nil"/>
            </w:tcBorders>
            <w:shd w:val="clear" w:color="auto" w:fill="auto"/>
            <w:noWrap/>
            <w:vAlign w:val="bottom"/>
            <w:hideMark/>
          </w:tcPr>
          <w:p w14:paraId="04C154CF" w14:textId="77777777" w:rsidR="00587FB1" w:rsidRPr="008E4384" w:rsidRDefault="00587FB1" w:rsidP="00C112F6">
            <w:pPr>
              <w:rPr>
                <w:color w:val="000000"/>
                <w:sz w:val="20"/>
                <w:szCs w:val="20"/>
              </w:rPr>
            </w:pPr>
            <w:r w:rsidRPr="008E4384">
              <w:rPr>
                <w:color w:val="000000"/>
                <w:sz w:val="20"/>
                <w:szCs w:val="20"/>
              </w:rPr>
              <w:t>Government</w:t>
            </w:r>
          </w:p>
        </w:tc>
        <w:tc>
          <w:tcPr>
            <w:tcW w:w="1380" w:type="dxa"/>
            <w:tcBorders>
              <w:top w:val="single" w:sz="4" w:space="0" w:color="D9D9D9"/>
              <w:left w:val="nil"/>
              <w:bottom w:val="single" w:sz="4" w:space="0" w:color="D9D9D9"/>
              <w:right w:val="nil"/>
            </w:tcBorders>
            <w:shd w:val="clear" w:color="auto" w:fill="auto"/>
            <w:noWrap/>
            <w:vAlign w:val="bottom"/>
            <w:hideMark/>
          </w:tcPr>
          <w:p w14:paraId="07DF394F" w14:textId="77777777" w:rsidR="00587FB1" w:rsidRPr="008E4384" w:rsidRDefault="00587FB1" w:rsidP="00C112F6">
            <w:pPr>
              <w:jc w:val="right"/>
              <w:rPr>
                <w:color w:val="000000"/>
                <w:sz w:val="20"/>
                <w:szCs w:val="20"/>
              </w:rPr>
            </w:pPr>
            <w:r w:rsidRPr="008E4384">
              <w:rPr>
                <w:color w:val="000000"/>
                <w:sz w:val="20"/>
                <w:szCs w:val="20"/>
              </w:rPr>
              <w:t>153</w:t>
            </w:r>
          </w:p>
        </w:tc>
      </w:tr>
      <w:tr w:rsidR="00587FB1" w:rsidRPr="00344F27" w14:paraId="58D89755" w14:textId="77777777" w:rsidTr="00C112F6">
        <w:trPr>
          <w:trHeight w:val="300"/>
        </w:trPr>
        <w:tc>
          <w:tcPr>
            <w:tcW w:w="1976" w:type="dxa"/>
            <w:tcBorders>
              <w:top w:val="single" w:sz="4" w:space="0" w:color="D9D9D9"/>
              <w:left w:val="nil"/>
              <w:bottom w:val="single" w:sz="4" w:space="0" w:color="D9D9D9"/>
              <w:right w:val="nil"/>
            </w:tcBorders>
            <w:shd w:val="clear" w:color="auto" w:fill="auto"/>
            <w:noWrap/>
            <w:vAlign w:val="bottom"/>
            <w:hideMark/>
          </w:tcPr>
          <w:p w14:paraId="17994CA1" w14:textId="77777777" w:rsidR="00587FB1" w:rsidRPr="008E4384" w:rsidRDefault="00587FB1" w:rsidP="00C112F6">
            <w:pPr>
              <w:rPr>
                <w:color w:val="000000"/>
                <w:sz w:val="20"/>
                <w:szCs w:val="20"/>
              </w:rPr>
            </w:pPr>
            <w:r w:rsidRPr="008E4384">
              <w:rPr>
                <w:color w:val="000000"/>
                <w:sz w:val="20"/>
                <w:szCs w:val="20"/>
              </w:rPr>
              <w:t>Nonprofit</w:t>
            </w:r>
          </w:p>
        </w:tc>
        <w:tc>
          <w:tcPr>
            <w:tcW w:w="1380" w:type="dxa"/>
            <w:tcBorders>
              <w:top w:val="single" w:sz="4" w:space="0" w:color="D9D9D9"/>
              <w:left w:val="nil"/>
              <w:bottom w:val="single" w:sz="4" w:space="0" w:color="D9D9D9"/>
              <w:right w:val="nil"/>
            </w:tcBorders>
            <w:shd w:val="clear" w:color="auto" w:fill="auto"/>
            <w:noWrap/>
            <w:vAlign w:val="bottom"/>
            <w:hideMark/>
          </w:tcPr>
          <w:p w14:paraId="6F1D79DA" w14:textId="77777777" w:rsidR="00587FB1" w:rsidRPr="008E4384" w:rsidRDefault="00587FB1" w:rsidP="00C112F6">
            <w:pPr>
              <w:jc w:val="right"/>
              <w:rPr>
                <w:color w:val="000000"/>
                <w:sz w:val="20"/>
                <w:szCs w:val="20"/>
              </w:rPr>
            </w:pPr>
            <w:r w:rsidRPr="008E4384">
              <w:rPr>
                <w:color w:val="000000"/>
                <w:sz w:val="20"/>
                <w:szCs w:val="20"/>
              </w:rPr>
              <w:t>91</w:t>
            </w:r>
          </w:p>
        </w:tc>
      </w:tr>
      <w:tr w:rsidR="00587FB1" w:rsidRPr="00344F27" w14:paraId="1944F8D7" w14:textId="77777777" w:rsidTr="00C112F6">
        <w:trPr>
          <w:trHeight w:val="300"/>
        </w:trPr>
        <w:tc>
          <w:tcPr>
            <w:tcW w:w="1976" w:type="dxa"/>
            <w:tcBorders>
              <w:top w:val="single" w:sz="4" w:space="0" w:color="D9D9D9"/>
              <w:left w:val="nil"/>
              <w:bottom w:val="single" w:sz="4" w:space="0" w:color="D9D9D9"/>
              <w:right w:val="nil"/>
            </w:tcBorders>
            <w:shd w:val="clear" w:color="auto" w:fill="auto"/>
            <w:noWrap/>
            <w:vAlign w:val="bottom"/>
            <w:hideMark/>
          </w:tcPr>
          <w:p w14:paraId="08326A87" w14:textId="77777777" w:rsidR="00587FB1" w:rsidRPr="008E4384" w:rsidRDefault="00587FB1" w:rsidP="00C112F6">
            <w:pPr>
              <w:rPr>
                <w:color w:val="000000"/>
                <w:sz w:val="20"/>
                <w:szCs w:val="20"/>
              </w:rPr>
            </w:pPr>
            <w:r w:rsidRPr="008E4384">
              <w:rPr>
                <w:color w:val="000000"/>
                <w:sz w:val="20"/>
                <w:szCs w:val="20"/>
              </w:rPr>
              <w:t>Media</w:t>
            </w:r>
          </w:p>
        </w:tc>
        <w:tc>
          <w:tcPr>
            <w:tcW w:w="1380" w:type="dxa"/>
            <w:tcBorders>
              <w:top w:val="single" w:sz="4" w:space="0" w:color="D9D9D9"/>
              <w:left w:val="nil"/>
              <w:bottom w:val="single" w:sz="4" w:space="0" w:color="D9D9D9"/>
              <w:right w:val="nil"/>
            </w:tcBorders>
            <w:shd w:val="clear" w:color="auto" w:fill="auto"/>
            <w:noWrap/>
            <w:vAlign w:val="bottom"/>
            <w:hideMark/>
          </w:tcPr>
          <w:p w14:paraId="112D7DEF" w14:textId="77777777" w:rsidR="00587FB1" w:rsidRPr="008E4384" w:rsidRDefault="00587FB1" w:rsidP="00C112F6">
            <w:pPr>
              <w:jc w:val="right"/>
              <w:rPr>
                <w:color w:val="000000"/>
                <w:sz w:val="20"/>
                <w:szCs w:val="20"/>
              </w:rPr>
            </w:pPr>
            <w:r w:rsidRPr="008E4384">
              <w:rPr>
                <w:color w:val="000000"/>
                <w:sz w:val="20"/>
                <w:szCs w:val="20"/>
              </w:rPr>
              <w:t>58</w:t>
            </w:r>
          </w:p>
        </w:tc>
      </w:tr>
      <w:tr w:rsidR="00587FB1" w:rsidRPr="00344F27" w14:paraId="5C494554" w14:textId="77777777" w:rsidTr="00C112F6">
        <w:trPr>
          <w:trHeight w:val="300"/>
        </w:trPr>
        <w:tc>
          <w:tcPr>
            <w:tcW w:w="1976" w:type="dxa"/>
            <w:tcBorders>
              <w:top w:val="single" w:sz="4" w:space="0" w:color="D9D9D9"/>
              <w:left w:val="nil"/>
              <w:bottom w:val="single" w:sz="4" w:space="0" w:color="D9D9D9"/>
              <w:right w:val="nil"/>
            </w:tcBorders>
            <w:shd w:val="clear" w:color="auto" w:fill="auto"/>
            <w:noWrap/>
            <w:vAlign w:val="bottom"/>
            <w:hideMark/>
          </w:tcPr>
          <w:p w14:paraId="060B20BB" w14:textId="77777777" w:rsidR="00587FB1" w:rsidRPr="008E4384" w:rsidRDefault="00587FB1" w:rsidP="00C112F6">
            <w:pPr>
              <w:rPr>
                <w:color w:val="000000"/>
                <w:sz w:val="20"/>
                <w:szCs w:val="20"/>
              </w:rPr>
            </w:pPr>
            <w:r w:rsidRPr="008E4384">
              <w:rPr>
                <w:color w:val="000000"/>
                <w:sz w:val="20"/>
                <w:szCs w:val="20"/>
              </w:rPr>
              <w:t>Academic</w:t>
            </w:r>
          </w:p>
        </w:tc>
        <w:tc>
          <w:tcPr>
            <w:tcW w:w="1380" w:type="dxa"/>
            <w:tcBorders>
              <w:top w:val="single" w:sz="4" w:space="0" w:color="D9D9D9"/>
              <w:left w:val="nil"/>
              <w:bottom w:val="single" w:sz="4" w:space="0" w:color="D9D9D9"/>
              <w:right w:val="nil"/>
            </w:tcBorders>
            <w:shd w:val="clear" w:color="auto" w:fill="auto"/>
            <w:noWrap/>
            <w:vAlign w:val="bottom"/>
            <w:hideMark/>
          </w:tcPr>
          <w:p w14:paraId="73F36A7D" w14:textId="77777777" w:rsidR="00587FB1" w:rsidRPr="008E4384" w:rsidRDefault="00587FB1" w:rsidP="00C112F6">
            <w:pPr>
              <w:jc w:val="right"/>
              <w:rPr>
                <w:color w:val="000000"/>
                <w:sz w:val="20"/>
                <w:szCs w:val="20"/>
              </w:rPr>
            </w:pPr>
            <w:r w:rsidRPr="008E4384">
              <w:rPr>
                <w:color w:val="000000"/>
                <w:sz w:val="20"/>
                <w:szCs w:val="20"/>
              </w:rPr>
              <w:t>33</w:t>
            </w:r>
          </w:p>
        </w:tc>
      </w:tr>
      <w:tr w:rsidR="00587FB1" w:rsidRPr="00344F27" w14:paraId="30663056" w14:textId="77777777" w:rsidTr="00C112F6">
        <w:trPr>
          <w:trHeight w:val="300"/>
        </w:trPr>
        <w:tc>
          <w:tcPr>
            <w:tcW w:w="1976" w:type="dxa"/>
            <w:tcBorders>
              <w:top w:val="single" w:sz="4" w:space="0" w:color="D9D9D9"/>
              <w:left w:val="nil"/>
              <w:bottom w:val="single" w:sz="4" w:space="0" w:color="D9D9D9"/>
              <w:right w:val="nil"/>
            </w:tcBorders>
            <w:shd w:val="clear" w:color="auto" w:fill="auto"/>
            <w:noWrap/>
            <w:vAlign w:val="bottom"/>
            <w:hideMark/>
          </w:tcPr>
          <w:p w14:paraId="01F5948A" w14:textId="77777777" w:rsidR="00587FB1" w:rsidRPr="008E4384" w:rsidRDefault="00587FB1" w:rsidP="00C112F6">
            <w:pPr>
              <w:rPr>
                <w:color w:val="000000"/>
                <w:sz w:val="20"/>
                <w:szCs w:val="20"/>
              </w:rPr>
            </w:pPr>
            <w:r w:rsidRPr="008E4384">
              <w:rPr>
                <w:color w:val="000000"/>
                <w:sz w:val="20"/>
                <w:szCs w:val="20"/>
              </w:rPr>
              <w:t>Insurance</w:t>
            </w:r>
          </w:p>
        </w:tc>
        <w:tc>
          <w:tcPr>
            <w:tcW w:w="1380" w:type="dxa"/>
            <w:tcBorders>
              <w:top w:val="single" w:sz="4" w:space="0" w:color="D9D9D9"/>
              <w:left w:val="nil"/>
              <w:bottom w:val="single" w:sz="4" w:space="0" w:color="D9D9D9"/>
              <w:right w:val="nil"/>
            </w:tcBorders>
            <w:shd w:val="clear" w:color="auto" w:fill="auto"/>
            <w:noWrap/>
            <w:vAlign w:val="bottom"/>
            <w:hideMark/>
          </w:tcPr>
          <w:p w14:paraId="4550309F" w14:textId="77777777" w:rsidR="00587FB1" w:rsidRPr="008E4384" w:rsidRDefault="00587FB1" w:rsidP="00C112F6">
            <w:pPr>
              <w:jc w:val="right"/>
              <w:rPr>
                <w:color w:val="000000"/>
                <w:sz w:val="20"/>
                <w:szCs w:val="20"/>
              </w:rPr>
            </w:pPr>
            <w:r w:rsidRPr="008E4384">
              <w:rPr>
                <w:color w:val="000000"/>
                <w:sz w:val="20"/>
                <w:szCs w:val="20"/>
              </w:rPr>
              <w:t>5</w:t>
            </w:r>
          </w:p>
        </w:tc>
      </w:tr>
      <w:tr w:rsidR="00587FB1" w:rsidRPr="00344F27" w14:paraId="24316EBC" w14:textId="77777777" w:rsidTr="00C112F6">
        <w:trPr>
          <w:trHeight w:val="300"/>
        </w:trPr>
        <w:tc>
          <w:tcPr>
            <w:tcW w:w="1976" w:type="dxa"/>
            <w:tcBorders>
              <w:top w:val="single" w:sz="4" w:space="0" w:color="D9D9D9"/>
              <w:left w:val="nil"/>
              <w:bottom w:val="single" w:sz="4" w:space="0" w:color="D9D9D9"/>
              <w:right w:val="nil"/>
            </w:tcBorders>
            <w:shd w:val="clear" w:color="auto" w:fill="auto"/>
            <w:noWrap/>
            <w:vAlign w:val="bottom"/>
            <w:hideMark/>
          </w:tcPr>
          <w:p w14:paraId="5B59254A" w14:textId="77777777" w:rsidR="00587FB1" w:rsidRPr="008E4384" w:rsidRDefault="00587FB1" w:rsidP="00C112F6">
            <w:pPr>
              <w:rPr>
                <w:color w:val="000000"/>
                <w:sz w:val="20"/>
                <w:szCs w:val="20"/>
              </w:rPr>
            </w:pPr>
            <w:r w:rsidRPr="008E4384">
              <w:rPr>
                <w:color w:val="000000"/>
                <w:sz w:val="20"/>
                <w:szCs w:val="20"/>
              </w:rPr>
              <w:t>Lobbyists</w:t>
            </w:r>
          </w:p>
        </w:tc>
        <w:tc>
          <w:tcPr>
            <w:tcW w:w="1380" w:type="dxa"/>
            <w:tcBorders>
              <w:top w:val="single" w:sz="4" w:space="0" w:color="D9D9D9"/>
              <w:left w:val="nil"/>
              <w:bottom w:val="single" w:sz="4" w:space="0" w:color="D9D9D9"/>
              <w:right w:val="nil"/>
            </w:tcBorders>
            <w:shd w:val="clear" w:color="auto" w:fill="auto"/>
            <w:noWrap/>
            <w:vAlign w:val="bottom"/>
            <w:hideMark/>
          </w:tcPr>
          <w:p w14:paraId="05F85DC1" w14:textId="77777777" w:rsidR="00587FB1" w:rsidRPr="008E4384" w:rsidRDefault="00587FB1" w:rsidP="00C112F6">
            <w:pPr>
              <w:jc w:val="right"/>
              <w:rPr>
                <w:color w:val="000000"/>
                <w:sz w:val="20"/>
                <w:szCs w:val="20"/>
              </w:rPr>
            </w:pPr>
            <w:r w:rsidRPr="008E4384">
              <w:rPr>
                <w:color w:val="000000"/>
                <w:sz w:val="20"/>
                <w:szCs w:val="20"/>
              </w:rPr>
              <w:t>4</w:t>
            </w:r>
          </w:p>
        </w:tc>
      </w:tr>
      <w:tr w:rsidR="00587FB1" w:rsidRPr="00344F27" w14:paraId="7BC0EF2C" w14:textId="77777777" w:rsidTr="00C112F6">
        <w:trPr>
          <w:trHeight w:val="300"/>
        </w:trPr>
        <w:tc>
          <w:tcPr>
            <w:tcW w:w="1976" w:type="dxa"/>
            <w:tcBorders>
              <w:top w:val="single" w:sz="4" w:space="0" w:color="808080"/>
              <w:left w:val="nil"/>
              <w:bottom w:val="single" w:sz="4" w:space="0" w:color="808080"/>
              <w:right w:val="nil"/>
            </w:tcBorders>
            <w:shd w:val="clear" w:color="FFFFFF" w:fill="FFFFFF"/>
            <w:noWrap/>
            <w:vAlign w:val="bottom"/>
            <w:hideMark/>
          </w:tcPr>
          <w:p w14:paraId="1771EFED" w14:textId="77777777" w:rsidR="00587FB1" w:rsidRPr="008E4384" w:rsidRDefault="00587FB1" w:rsidP="00C112F6">
            <w:pPr>
              <w:rPr>
                <w:b/>
                <w:bCs/>
                <w:color w:val="000000"/>
                <w:sz w:val="20"/>
                <w:szCs w:val="20"/>
              </w:rPr>
            </w:pPr>
            <w:r w:rsidRPr="008E4384">
              <w:rPr>
                <w:b/>
                <w:bCs/>
                <w:color w:val="000000"/>
                <w:sz w:val="20"/>
                <w:szCs w:val="20"/>
              </w:rPr>
              <w:t>Total</w:t>
            </w:r>
          </w:p>
        </w:tc>
        <w:tc>
          <w:tcPr>
            <w:tcW w:w="1380" w:type="dxa"/>
            <w:tcBorders>
              <w:top w:val="single" w:sz="4" w:space="0" w:color="808080"/>
              <w:left w:val="nil"/>
              <w:bottom w:val="single" w:sz="4" w:space="0" w:color="808080"/>
              <w:right w:val="nil"/>
            </w:tcBorders>
            <w:shd w:val="clear" w:color="FFFFFF" w:fill="FFFFFF"/>
            <w:noWrap/>
            <w:vAlign w:val="bottom"/>
            <w:hideMark/>
          </w:tcPr>
          <w:p w14:paraId="090E1178" w14:textId="77777777" w:rsidR="00587FB1" w:rsidRPr="008E4384" w:rsidRDefault="00587FB1" w:rsidP="00C112F6">
            <w:pPr>
              <w:jc w:val="right"/>
              <w:rPr>
                <w:b/>
                <w:bCs/>
                <w:color w:val="000000"/>
                <w:sz w:val="20"/>
                <w:szCs w:val="20"/>
              </w:rPr>
            </w:pPr>
            <w:r w:rsidRPr="008E4384">
              <w:rPr>
                <w:b/>
                <w:bCs/>
                <w:color w:val="000000"/>
                <w:sz w:val="20"/>
                <w:szCs w:val="20"/>
              </w:rPr>
              <w:t>5,682</w:t>
            </w:r>
          </w:p>
        </w:tc>
      </w:tr>
    </w:tbl>
    <w:p w14:paraId="4866094E" w14:textId="0DAFB49A" w:rsidR="00587FB1" w:rsidRDefault="00587FB1" w:rsidP="00450032">
      <w:pPr>
        <w:rPr>
          <w:b/>
          <w:bCs/>
        </w:rPr>
      </w:pPr>
      <w:r>
        <w:rPr>
          <w:noProof/>
        </w:rPr>
        <w:drawing>
          <wp:inline distT="0" distB="0" distL="0" distR="0" wp14:anchorId="42F58F58" wp14:editId="61890DE4">
            <wp:extent cx="3339465" cy="3140710"/>
            <wp:effectExtent l="0" t="0" r="13335" b="8890"/>
            <wp:docPr id="6" name="Chart 6">
              <a:extLst xmlns:a="http://schemas.openxmlformats.org/drawingml/2006/main">
                <a:ext uri="{FF2B5EF4-FFF2-40B4-BE49-F238E27FC236}">
                  <a16:creationId xmlns:a16="http://schemas.microsoft.com/office/drawing/2014/main" id="{B0EDD372-26F5-0D47-8137-992BAB5A1C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8B0225B" w14:textId="77777777" w:rsidR="00C112F6" w:rsidRDefault="00C112F6" w:rsidP="00450032">
      <w:pPr>
        <w:rPr>
          <w:b/>
          <w:bCs/>
        </w:rPr>
      </w:pPr>
    </w:p>
    <w:p w14:paraId="513F8A76" w14:textId="77777777" w:rsidR="00C112F6" w:rsidRDefault="00C112F6" w:rsidP="00450032">
      <w:pPr>
        <w:rPr>
          <w:b/>
          <w:bCs/>
        </w:rPr>
      </w:pPr>
    </w:p>
    <w:p w14:paraId="7C35D7C4" w14:textId="565A1AB6" w:rsidR="00587FB1" w:rsidRPr="00C112F6" w:rsidRDefault="00C112F6" w:rsidP="00450032">
      <w:pPr>
        <w:rPr>
          <w:b/>
          <w:bCs/>
        </w:rPr>
      </w:pPr>
      <w:r>
        <w:rPr>
          <w:b/>
          <w:bCs/>
        </w:rPr>
        <w:t>DACS</w:t>
      </w:r>
    </w:p>
    <w:tbl>
      <w:tblPr>
        <w:tblpPr w:leftFromText="180" w:rightFromText="180" w:vertAnchor="text" w:horzAnchor="margin" w:tblpY="326"/>
        <w:tblW w:w="3249" w:type="dxa"/>
        <w:tblLook w:val="04A0" w:firstRow="1" w:lastRow="0" w:firstColumn="1" w:lastColumn="0" w:noHBand="0" w:noVBand="1"/>
      </w:tblPr>
      <w:tblGrid>
        <w:gridCol w:w="1927"/>
        <w:gridCol w:w="1322"/>
      </w:tblGrid>
      <w:tr w:rsidR="00587FB1" w:rsidRPr="008E4384" w14:paraId="10C0CF0E" w14:textId="77777777" w:rsidTr="00587FB1">
        <w:trPr>
          <w:trHeight w:val="292"/>
        </w:trPr>
        <w:tc>
          <w:tcPr>
            <w:tcW w:w="1927" w:type="dxa"/>
            <w:tcBorders>
              <w:top w:val="single" w:sz="4" w:space="0" w:color="D9D9D9"/>
              <w:left w:val="nil"/>
              <w:bottom w:val="single" w:sz="4" w:space="0" w:color="D9D9D9"/>
              <w:right w:val="nil"/>
            </w:tcBorders>
            <w:shd w:val="clear" w:color="auto" w:fill="auto"/>
            <w:noWrap/>
            <w:vAlign w:val="bottom"/>
            <w:hideMark/>
          </w:tcPr>
          <w:p w14:paraId="315A8ABA" w14:textId="77777777" w:rsidR="00587FB1" w:rsidRPr="008E4384" w:rsidRDefault="00587FB1" w:rsidP="00587FB1">
            <w:pPr>
              <w:rPr>
                <w:color w:val="000000"/>
                <w:sz w:val="22"/>
                <w:szCs w:val="22"/>
              </w:rPr>
            </w:pPr>
            <w:r w:rsidRPr="008E4384">
              <w:rPr>
                <w:color w:val="000000"/>
                <w:sz w:val="22"/>
                <w:szCs w:val="22"/>
              </w:rPr>
              <w:t>Individual/uncoded</w:t>
            </w:r>
          </w:p>
        </w:tc>
        <w:tc>
          <w:tcPr>
            <w:tcW w:w="1322" w:type="dxa"/>
            <w:tcBorders>
              <w:top w:val="single" w:sz="4" w:space="0" w:color="D9D9D9"/>
              <w:left w:val="nil"/>
              <w:bottom w:val="single" w:sz="4" w:space="0" w:color="D9D9D9"/>
              <w:right w:val="nil"/>
            </w:tcBorders>
            <w:shd w:val="clear" w:color="auto" w:fill="auto"/>
            <w:noWrap/>
            <w:vAlign w:val="bottom"/>
            <w:hideMark/>
          </w:tcPr>
          <w:p w14:paraId="7988D0D7" w14:textId="77777777" w:rsidR="00587FB1" w:rsidRPr="008E4384" w:rsidRDefault="00587FB1" w:rsidP="00587FB1">
            <w:pPr>
              <w:jc w:val="right"/>
              <w:rPr>
                <w:color w:val="000000"/>
                <w:sz w:val="22"/>
                <w:szCs w:val="22"/>
              </w:rPr>
            </w:pPr>
            <w:r w:rsidRPr="008E4384">
              <w:rPr>
                <w:color w:val="000000"/>
                <w:sz w:val="22"/>
                <w:szCs w:val="22"/>
              </w:rPr>
              <w:t>1</w:t>
            </w:r>
            <w:r>
              <w:rPr>
                <w:color w:val="000000"/>
                <w:sz w:val="22"/>
                <w:szCs w:val="22"/>
              </w:rPr>
              <w:t>,</w:t>
            </w:r>
            <w:r w:rsidRPr="008E4384">
              <w:rPr>
                <w:color w:val="000000"/>
                <w:sz w:val="22"/>
                <w:szCs w:val="22"/>
              </w:rPr>
              <w:t>309</w:t>
            </w:r>
          </w:p>
        </w:tc>
      </w:tr>
      <w:tr w:rsidR="00587FB1" w:rsidRPr="008E4384" w14:paraId="2AA67949" w14:textId="77777777" w:rsidTr="00587FB1">
        <w:trPr>
          <w:trHeight w:val="292"/>
        </w:trPr>
        <w:tc>
          <w:tcPr>
            <w:tcW w:w="1927" w:type="dxa"/>
            <w:tcBorders>
              <w:top w:val="single" w:sz="4" w:space="0" w:color="D9D9D9"/>
              <w:left w:val="nil"/>
              <w:bottom w:val="single" w:sz="4" w:space="0" w:color="D9D9D9"/>
              <w:right w:val="nil"/>
            </w:tcBorders>
            <w:shd w:val="clear" w:color="auto" w:fill="auto"/>
            <w:noWrap/>
            <w:vAlign w:val="bottom"/>
            <w:hideMark/>
          </w:tcPr>
          <w:p w14:paraId="4FD404CE" w14:textId="77777777" w:rsidR="00587FB1" w:rsidRPr="008E4384" w:rsidRDefault="00587FB1" w:rsidP="00587FB1">
            <w:pPr>
              <w:rPr>
                <w:color w:val="000000"/>
                <w:sz w:val="22"/>
                <w:szCs w:val="22"/>
              </w:rPr>
            </w:pPr>
            <w:r w:rsidRPr="008E4384">
              <w:rPr>
                <w:color w:val="000000"/>
                <w:sz w:val="22"/>
                <w:szCs w:val="22"/>
              </w:rPr>
              <w:t>Government</w:t>
            </w:r>
          </w:p>
        </w:tc>
        <w:tc>
          <w:tcPr>
            <w:tcW w:w="1322" w:type="dxa"/>
            <w:tcBorders>
              <w:top w:val="single" w:sz="4" w:space="0" w:color="D9D9D9"/>
              <w:left w:val="nil"/>
              <w:bottom w:val="single" w:sz="4" w:space="0" w:color="D9D9D9"/>
              <w:right w:val="nil"/>
            </w:tcBorders>
            <w:shd w:val="clear" w:color="auto" w:fill="auto"/>
            <w:noWrap/>
            <w:vAlign w:val="bottom"/>
            <w:hideMark/>
          </w:tcPr>
          <w:p w14:paraId="13C93FEF" w14:textId="77777777" w:rsidR="00587FB1" w:rsidRPr="008E4384" w:rsidRDefault="00587FB1" w:rsidP="00587FB1">
            <w:pPr>
              <w:jc w:val="right"/>
              <w:rPr>
                <w:color w:val="000000"/>
                <w:sz w:val="22"/>
                <w:szCs w:val="22"/>
              </w:rPr>
            </w:pPr>
            <w:r w:rsidRPr="008E4384">
              <w:rPr>
                <w:color w:val="000000"/>
                <w:sz w:val="22"/>
                <w:szCs w:val="22"/>
              </w:rPr>
              <w:t>914</w:t>
            </w:r>
          </w:p>
        </w:tc>
      </w:tr>
      <w:tr w:rsidR="00587FB1" w:rsidRPr="008E4384" w14:paraId="042398C6" w14:textId="77777777" w:rsidTr="00587FB1">
        <w:trPr>
          <w:trHeight w:val="292"/>
        </w:trPr>
        <w:tc>
          <w:tcPr>
            <w:tcW w:w="1927" w:type="dxa"/>
            <w:tcBorders>
              <w:top w:val="single" w:sz="4" w:space="0" w:color="D9D9D9"/>
              <w:left w:val="nil"/>
              <w:bottom w:val="single" w:sz="4" w:space="0" w:color="D9D9D9"/>
              <w:right w:val="nil"/>
            </w:tcBorders>
            <w:shd w:val="clear" w:color="auto" w:fill="auto"/>
            <w:noWrap/>
            <w:vAlign w:val="bottom"/>
            <w:hideMark/>
          </w:tcPr>
          <w:p w14:paraId="4F87A79B" w14:textId="77777777" w:rsidR="00587FB1" w:rsidRPr="008E4384" w:rsidRDefault="00587FB1" w:rsidP="00587FB1">
            <w:pPr>
              <w:rPr>
                <w:color w:val="000000"/>
                <w:sz w:val="22"/>
                <w:szCs w:val="22"/>
              </w:rPr>
            </w:pPr>
            <w:r w:rsidRPr="008E4384">
              <w:rPr>
                <w:color w:val="000000"/>
                <w:sz w:val="22"/>
                <w:szCs w:val="22"/>
              </w:rPr>
              <w:t>For-profit business</w:t>
            </w:r>
          </w:p>
        </w:tc>
        <w:tc>
          <w:tcPr>
            <w:tcW w:w="1322" w:type="dxa"/>
            <w:tcBorders>
              <w:top w:val="single" w:sz="4" w:space="0" w:color="D9D9D9"/>
              <w:left w:val="nil"/>
              <w:bottom w:val="single" w:sz="4" w:space="0" w:color="D9D9D9"/>
              <w:right w:val="nil"/>
            </w:tcBorders>
            <w:shd w:val="clear" w:color="auto" w:fill="auto"/>
            <w:noWrap/>
            <w:vAlign w:val="bottom"/>
            <w:hideMark/>
          </w:tcPr>
          <w:p w14:paraId="2235C718" w14:textId="77777777" w:rsidR="00587FB1" w:rsidRPr="008E4384" w:rsidRDefault="00587FB1" w:rsidP="00587FB1">
            <w:pPr>
              <w:jc w:val="right"/>
              <w:rPr>
                <w:color w:val="000000"/>
                <w:sz w:val="22"/>
                <w:szCs w:val="22"/>
              </w:rPr>
            </w:pPr>
            <w:r w:rsidRPr="008E4384">
              <w:rPr>
                <w:color w:val="000000"/>
                <w:sz w:val="22"/>
                <w:szCs w:val="22"/>
              </w:rPr>
              <w:t>450</w:t>
            </w:r>
          </w:p>
        </w:tc>
      </w:tr>
      <w:tr w:rsidR="00587FB1" w:rsidRPr="008E4384" w14:paraId="7476D3D5" w14:textId="77777777" w:rsidTr="00587FB1">
        <w:trPr>
          <w:trHeight w:val="292"/>
        </w:trPr>
        <w:tc>
          <w:tcPr>
            <w:tcW w:w="1927" w:type="dxa"/>
            <w:tcBorders>
              <w:top w:val="single" w:sz="4" w:space="0" w:color="D9D9D9"/>
              <w:left w:val="nil"/>
              <w:bottom w:val="single" w:sz="4" w:space="0" w:color="D9D9D9"/>
              <w:right w:val="nil"/>
            </w:tcBorders>
            <w:shd w:val="clear" w:color="auto" w:fill="auto"/>
            <w:noWrap/>
            <w:vAlign w:val="bottom"/>
            <w:hideMark/>
          </w:tcPr>
          <w:p w14:paraId="64A8881E" w14:textId="77777777" w:rsidR="00587FB1" w:rsidRPr="008E4384" w:rsidRDefault="00587FB1" w:rsidP="00587FB1">
            <w:pPr>
              <w:rPr>
                <w:color w:val="000000"/>
                <w:sz w:val="22"/>
                <w:szCs w:val="22"/>
              </w:rPr>
            </w:pPr>
            <w:r w:rsidRPr="008E4384">
              <w:rPr>
                <w:color w:val="000000"/>
                <w:sz w:val="22"/>
                <w:szCs w:val="22"/>
              </w:rPr>
              <w:t>Legal</w:t>
            </w:r>
          </w:p>
        </w:tc>
        <w:tc>
          <w:tcPr>
            <w:tcW w:w="1322" w:type="dxa"/>
            <w:tcBorders>
              <w:top w:val="single" w:sz="4" w:space="0" w:color="D9D9D9"/>
              <w:left w:val="nil"/>
              <w:bottom w:val="single" w:sz="4" w:space="0" w:color="D9D9D9"/>
              <w:right w:val="nil"/>
            </w:tcBorders>
            <w:shd w:val="clear" w:color="auto" w:fill="auto"/>
            <w:noWrap/>
            <w:vAlign w:val="bottom"/>
            <w:hideMark/>
          </w:tcPr>
          <w:p w14:paraId="307ADCD6" w14:textId="77777777" w:rsidR="00587FB1" w:rsidRPr="008E4384" w:rsidRDefault="00587FB1" w:rsidP="00587FB1">
            <w:pPr>
              <w:jc w:val="right"/>
              <w:rPr>
                <w:color w:val="000000"/>
                <w:sz w:val="22"/>
                <w:szCs w:val="22"/>
              </w:rPr>
            </w:pPr>
            <w:r w:rsidRPr="008E4384">
              <w:rPr>
                <w:color w:val="000000"/>
                <w:sz w:val="22"/>
                <w:szCs w:val="22"/>
              </w:rPr>
              <w:t>346</w:t>
            </w:r>
          </w:p>
        </w:tc>
      </w:tr>
      <w:tr w:rsidR="00587FB1" w:rsidRPr="008E4384" w14:paraId="7BD32F5E" w14:textId="77777777" w:rsidTr="00587FB1">
        <w:trPr>
          <w:trHeight w:val="292"/>
        </w:trPr>
        <w:tc>
          <w:tcPr>
            <w:tcW w:w="1927" w:type="dxa"/>
            <w:tcBorders>
              <w:top w:val="single" w:sz="4" w:space="0" w:color="D9D9D9"/>
              <w:left w:val="nil"/>
              <w:bottom w:val="single" w:sz="4" w:space="0" w:color="D9D9D9"/>
              <w:right w:val="nil"/>
            </w:tcBorders>
            <w:shd w:val="clear" w:color="auto" w:fill="auto"/>
            <w:noWrap/>
            <w:vAlign w:val="bottom"/>
            <w:hideMark/>
          </w:tcPr>
          <w:p w14:paraId="0DA98745" w14:textId="77777777" w:rsidR="00587FB1" w:rsidRPr="008E4384" w:rsidRDefault="00587FB1" w:rsidP="00587FB1">
            <w:pPr>
              <w:rPr>
                <w:color w:val="000000"/>
                <w:sz w:val="22"/>
                <w:szCs w:val="22"/>
              </w:rPr>
            </w:pPr>
            <w:r w:rsidRPr="008E4384">
              <w:rPr>
                <w:color w:val="000000"/>
                <w:sz w:val="22"/>
                <w:szCs w:val="22"/>
              </w:rPr>
              <w:t>Media</w:t>
            </w:r>
          </w:p>
        </w:tc>
        <w:tc>
          <w:tcPr>
            <w:tcW w:w="1322" w:type="dxa"/>
            <w:tcBorders>
              <w:top w:val="single" w:sz="4" w:space="0" w:color="D9D9D9"/>
              <w:left w:val="nil"/>
              <w:bottom w:val="single" w:sz="4" w:space="0" w:color="D9D9D9"/>
              <w:right w:val="nil"/>
            </w:tcBorders>
            <w:shd w:val="clear" w:color="auto" w:fill="auto"/>
            <w:noWrap/>
            <w:vAlign w:val="bottom"/>
            <w:hideMark/>
          </w:tcPr>
          <w:p w14:paraId="3BB72354" w14:textId="77777777" w:rsidR="00587FB1" w:rsidRPr="008E4384" w:rsidRDefault="00587FB1" w:rsidP="00587FB1">
            <w:pPr>
              <w:jc w:val="right"/>
              <w:rPr>
                <w:color w:val="000000"/>
                <w:sz w:val="22"/>
                <w:szCs w:val="22"/>
              </w:rPr>
            </w:pPr>
            <w:r w:rsidRPr="008E4384">
              <w:rPr>
                <w:color w:val="000000"/>
                <w:sz w:val="22"/>
                <w:szCs w:val="22"/>
              </w:rPr>
              <w:t>67</w:t>
            </w:r>
          </w:p>
        </w:tc>
      </w:tr>
      <w:tr w:rsidR="00587FB1" w:rsidRPr="008E4384" w14:paraId="4CF57E05" w14:textId="77777777" w:rsidTr="00587FB1">
        <w:trPr>
          <w:trHeight w:val="292"/>
        </w:trPr>
        <w:tc>
          <w:tcPr>
            <w:tcW w:w="1927" w:type="dxa"/>
            <w:tcBorders>
              <w:top w:val="single" w:sz="4" w:space="0" w:color="D9D9D9"/>
              <w:left w:val="nil"/>
              <w:bottom w:val="single" w:sz="4" w:space="0" w:color="D9D9D9"/>
              <w:right w:val="nil"/>
            </w:tcBorders>
            <w:shd w:val="clear" w:color="auto" w:fill="auto"/>
            <w:noWrap/>
            <w:vAlign w:val="bottom"/>
            <w:hideMark/>
          </w:tcPr>
          <w:p w14:paraId="6FCD31E4" w14:textId="77777777" w:rsidR="00587FB1" w:rsidRPr="008E4384" w:rsidRDefault="00587FB1" w:rsidP="00587FB1">
            <w:pPr>
              <w:rPr>
                <w:color w:val="000000"/>
                <w:sz w:val="22"/>
                <w:szCs w:val="22"/>
              </w:rPr>
            </w:pPr>
            <w:r w:rsidRPr="008E4384">
              <w:rPr>
                <w:color w:val="000000"/>
                <w:sz w:val="22"/>
                <w:szCs w:val="22"/>
              </w:rPr>
              <w:t>Nonprofit</w:t>
            </w:r>
          </w:p>
        </w:tc>
        <w:tc>
          <w:tcPr>
            <w:tcW w:w="1322" w:type="dxa"/>
            <w:tcBorders>
              <w:top w:val="single" w:sz="4" w:space="0" w:color="D9D9D9"/>
              <w:left w:val="nil"/>
              <w:bottom w:val="single" w:sz="4" w:space="0" w:color="D9D9D9"/>
              <w:right w:val="nil"/>
            </w:tcBorders>
            <w:shd w:val="clear" w:color="auto" w:fill="auto"/>
            <w:noWrap/>
            <w:vAlign w:val="bottom"/>
            <w:hideMark/>
          </w:tcPr>
          <w:p w14:paraId="2DFFE4B3" w14:textId="77777777" w:rsidR="00587FB1" w:rsidRPr="008E4384" w:rsidRDefault="00587FB1" w:rsidP="00587FB1">
            <w:pPr>
              <w:jc w:val="right"/>
              <w:rPr>
                <w:color w:val="000000"/>
                <w:sz w:val="22"/>
                <w:szCs w:val="22"/>
              </w:rPr>
            </w:pPr>
            <w:r w:rsidRPr="008E4384">
              <w:rPr>
                <w:color w:val="000000"/>
                <w:sz w:val="22"/>
                <w:szCs w:val="22"/>
              </w:rPr>
              <w:t>46</w:t>
            </w:r>
          </w:p>
        </w:tc>
      </w:tr>
      <w:tr w:rsidR="00587FB1" w:rsidRPr="008E4384" w14:paraId="454C483B" w14:textId="77777777" w:rsidTr="00587FB1">
        <w:trPr>
          <w:trHeight w:val="292"/>
        </w:trPr>
        <w:tc>
          <w:tcPr>
            <w:tcW w:w="1927" w:type="dxa"/>
            <w:tcBorders>
              <w:top w:val="single" w:sz="4" w:space="0" w:color="D9D9D9"/>
              <w:left w:val="nil"/>
              <w:bottom w:val="single" w:sz="4" w:space="0" w:color="D9D9D9"/>
              <w:right w:val="nil"/>
            </w:tcBorders>
            <w:shd w:val="clear" w:color="auto" w:fill="auto"/>
            <w:noWrap/>
            <w:vAlign w:val="bottom"/>
            <w:hideMark/>
          </w:tcPr>
          <w:p w14:paraId="00F05B3D" w14:textId="77777777" w:rsidR="00587FB1" w:rsidRPr="008E4384" w:rsidRDefault="00587FB1" w:rsidP="00587FB1">
            <w:pPr>
              <w:rPr>
                <w:color w:val="000000"/>
                <w:sz w:val="22"/>
                <w:szCs w:val="22"/>
              </w:rPr>
            </w:pPr>
            <w:r w:rsidRPr="008E4384">
              <w:rPr>
                <w:color w:val="000000"/>
                <w:sz w:val="22"/>
                <w:szCs w:val="22"/>
              </w:rPr>
              <w:t>Academic</w:t>
            </w:r>
          </w:p>
        </w:tc>
        <w:tc>
          <w:tcPr>
            <w:tcW w:w="1322" w:type="dxa"/>
            <w:tcBorders>
              <w:top w:val="single" w:sz="4" w:space="0" w:color="D9D9D9"/>
              <w:left w:val="nil"/>
              <w:bottom w:val="single" w:sz="4" w:space="0" w:color="D9D9D9"/>
              <w:right w:val="nil"/>
            </w:tcBorders>
            <w:shd w:val="clear" w:color="auto" w:fill="auto"/>
            <w:noWrap/>
            <w:vAlign w:val="bottom"/>
            <w:hideMark/>
          </w:tcPr>
          <w:p w14:paraId="1FE8E956" w14:textId="77777777" w:rsidR="00587FB1" w:rsidRPr="008E4384" w:rsidRDefault="00587FB1" w:rsidP="00587FB1">
            <w:pPr>
              <w:jc w:val="right"/>
              <w:rPr>
                <w:color w:val="000000"/>
                <w:sz w:val="22"/>
                <w:szCs w:val="22"/>
              </w:rPr>
            </w:pPr>
            <w:r w:rsidRPr="008E4384">
              <w:rPr>
                <w:color w:val="000000"/>
                <w:sz w:val="22"/>
                <w:szCs w:val="22"/>
              </w:rPr>
              <w:t>22</w:t>
            </w:r>
          </w:p>
        </w:tc>
      </w:tr>
      <w:tr w:rsidR="00587FB1" w:rsidRPr="008E4384" w14:paraId="5DFC6635" w14:textId="77777777" w:rsidTr="00587FB1">
        <w:trPr>
          <w:trHeight w:val="292"/>
        </w:trPr>
        <w:tc>
          <w:tcPr>
            <w:tcW w:w="1927" w:type="dxa"/>
            <w:tcBorders>
              <w:top w:val="single" w:sz="4" w:space="0" w:color="D9D9D9"/>
              <w:left w:val="nil"/>
              <w:bottom w:val="single" w:sz="4" w:space="0" w:color="D9D9D9"/>
              <w:right w:val="nil"/>
            </w:tcBorders>
            <w:shd w:val="clear" w:color="auto" w:fill="auto"/>
            <w:noWrap/>
            <w:vAlign w:val="bottom"/>
            <w:hideMark/>
          </w:tcPr>
          <w:p w14:paraId="1A7BE96C" w14:textId="77777777" w:rsidR="00587FB1" w:rsidRPr="008E4384" w:rsidRDefault="00587FB1" w:rsidP="00587FB1">
            <w:pPr>
              <w:rPr>
                <w:color w:val="000000"/>
                <w:sz w:val="22"/>
                <w:szCs w:val="22"/>
              </w:rPr>
            </w:pPr>
            <w:r w:rsidRPr="008E4384">
              <w:rPr>
                <w:color w:val="000000"/>
                <w:sz w:val="22"/>
                <w:szCs w:val="22"/>
              </w:rPr>
              <w:t>Insurance</w:t>
            </w:r>
          </w:p>
        </w:tc>
        <w:tc>
          <w:tcPr>
            <w:tcW w:w="1322" w:type="dxa"/>
            <w:tcBorders>
              <w:top w:val="single" w:sz="4" w:space="0" w:color="D9D9D9"/>
              <w:left w:val="nil"/>
              <w:bottom w:val="single" w:sz="4" w:space="0" w:color="D9D9D9"/>
              <w:right w:val="nil"/>
            </w:tcBorders>
            <w:shd w:val="clear" w:color="auto" w:fill="auto"/>
            <w:noWrap/>
            <w:vAlign w:val="bottom"/>
            <w:hideMark/>
          </w:tcPr>
          <w:p w14:paraId="1EB69846" w14:textId="77777777" w:rsidR="00587FB1" w:rsidRPr="008E4384" w:rsidRDefault="00587FB1" w:rsidP="00587FB1">
            <w:pPr>
              <w:jc w:val="right"/>
              <w:rPr>
                <w:color w:val="000000"/>
                <w:sz w:val="22"/>
                <w:szCs w:val="22"/>
              </w:rPr>
            </w:pPr>
            <w:r w:rsidRPr="008E4384">
              <w:rPr>
                <w:color w:val="000000"/>
                <w:sz w:val="22"/>
                <w:szCs w:val="22"/>
              </w:rPr>
              <w:t>8</w:t>
            </w:r>
          </w:p>
        </w:tc>
      </w:tr>
      <w:tr w:rsidR="00587FB1" w:rsidRPr="008E4384" w14:paraId="3E8D40D5" w14:textId="77777777" w:rsidTr="00587FB1">
        <w:trPr>
          <w:trHeight w:val="292"/>
        </w:trPr>
        <w:tc>
          <w:tcPr>
            <w:tcW w:w="1927" w:type="dxa"/>
            <w:tcBorders>
              <w:top w:val="single" w:sz="4" w:space="0" w:color="D9D9D9"/>
              <w:left w:val="nil"/>
              <w:bottom w:val="single" w:sz="4" w:space="0" w:color="D9D9D9"/>
              <w:right w:val="nil"/>
            </w:tcBorders>
            <w:shd w:val="clear" w:color="auto" w:fill="auto"/>
            <w:noWrap/>
            <w:vAlign w:val="bottom"/>
            <w:hideMark/>
          </w:tcPr>
          <w:p w14:paraId="36E9E29C" w14:textId="77777777" w:rsidR="00587FB1" w:rsidRPr="008E4384" w:rsidRDefault="00587FB1" w:rsidP="00587FB1">
            <w:pPr>
              <w:rPr>
                <w:color w:val="000000"/>
                <w:sz w:val="22"/>
                <w:szCs w:val="22"/>
              </w:rPr>
            </w:pPr>
            <w:r w:rsidRPr="008E4384">
              <w:rPr>
                <w:color w:val="000000"/>
                <w:sz w:val="22"/>
                <w:szCs w:val="22"/>
              </w:rPr>
              <w:t>Lobbyists</w:t>
            </w:r>
          </w:p>
        </w:tc>
        <w:tc>
          <w:tcPr>
            <w:tcW w:w="1322" w:type="dxa"/>
            <w:tcBorders>
              <w:top w:val="single" w:sz="4" w:space="0" w:color="D9D9D9"/>
              <w:left w:val="nil"/>
              <w:bottom w:val="single" w:sz="4" w:space="0" w:color="D9D9D9"/>
              <w:right w:val="nil"/>
            </w:tcBorders>
            <w:shd w:val="clear" w:color="auto" w:fill="auto"/>
            <w:noWrap/>
            <w:vAlign w:val="bottom"/>
            <w:hideMark/>
          </w:tcPr>
          <w:p w14:paraId="45A74EF7" w14:textId="77777777" w:rsidR="00587FB1" w:rsidRPr="008E4384" w:rsidRDefault="00587FB1" w:rsidP="00587FB1">
            <w:pPr>
              <w:jc w:val="right"/>
              <w:rPr>
                <w:color w:val="000000"/>
                <w:sz w:val="22"/>
                <w:szCs w:val="22"/>
              </w:rPr>
            </w:pPr>
            <w:r w:rsidRPr="008E4384">
              <w:rPr>
                <w:color w:val="000000"/>
                <w:sz w:val="22"/>
                <w:szCs w:val="22"/>
              </w:rPr>
              <w:t>4</w:t>
            </w:r>
          </w:p>
        </w:tc>
      </w:tr>
      <w:tr w:rsidR="00587FB1" w:rsidRPr="008E4384" w14:paraId="0052C158" w14:textId="77777777" w:rsidTr="00587FB1">
        <w:trPr>
          <w:trHeight w:val="292"/>
        </w:trPr>
        <w:tc>
          <w:tcPr>
            <w:tcW w:w="1927" w:type="dxa"/>
            <w:tcBorders>
              <w:top w:val="single" w:sz="4" w:space="0" w:color="D9D9D9"/>
              <w:left w:val="nil"/>
              <w:bottom w:val="single" w:sz="4" w:space="0" w:color="D9D9D9"/>
              <w:right w:val="nil"/>
            </w:tcBorders>
            <w:shd w:val="clear" w:color="auto" w:fill="auto"/>
            <w:noWrap/>
            <w:vAlign w:val="bottom"/>
            <w:hideMark/>
          </w:tcPr>
          <w:p w14:paraId="4BFD02D2" w14:textId="77777777" w:rsidR="00587FB1" w:rsidRPr="008E4384" w:rsidRDefault="00587FB1" w:rsidP="00587FB1">
            <w:pPr>
              <w:rPr>
                <w:color w:val="000000"/>
                <w:sz w:val="22"/>
                <w:szCs w:val="22"/>
              </w:rPr>
            </w:pPr>
            <w:r w:rsidRPr="008E4384">
              <w:rPr>
                <w:color w:val="000000"/>
                <w:sz w:val="22"/>
                <w:szCs w:val="22"/>
              </w:rPr>
              <w:t>Union</w:t>
            </w:r>
          </w:p>
        </w:tc>
        <w:tc>
          <w:tcPr>
            <w:tcW w:w="1322" w:type="dxa"/>
            <w:tcBorders>
              <w:top w:val="single" w:sz="4" w:space="0" w:color="D9D9D9"/>
              <w:left w:val="nil"/>
              <w:bottom w:val="single" w:sz="4" w:space="0" w:color="D9D9D9"/>
              <w:right w:val="nil"/>
            </w:tcBorders>
            <w:shd w:val="clear" w:color="auto" w:fill="auto"/>
            <w:noWrap/>
            <w:vAlign w:val="bottom"/>
            <w:hideMark/>
          </w:tcPr>
          <w:p w14:paraId="44620B27" w14:textId="77777777" w:rsidR="00587FB1" w:rsidRPr="008E4384" w:rsidRDefault="00587FB1" w:rsidP="00587FB1">
            <w:pPr>
              <w:jc w:val="right"/>
              <w:rPr>
                <w:color w:val="000000"/>
                <w:sz w:val="22"/>
                <w:szCs w:val="22"/>
              </w:rPr>
            </w:pPr>
            <w:r w:rsidRPr="008E4384">
              <w:rPr>
                <w:color w:val="000000"/>
                <w:sz w:val="22"/>
                <w:szCs w:val="22"/>
              </w:rPr>
              <w:t>3</w:t>
            </w:r>
          </w:p>
        </w:tc>
      </w:tr>
      <w:tr w:rsidR="00587FB1" w:rsidRPr="008E4384" w14:paraId="3DB69B38" w14:textId="77777777" w:rsidTr="00587FB1">
        <w:trPr>
          <w:trHeight w:val="292"/>
        </w:trPr>
        <w:tc>
          <w:tcPr>
            <w:tcW w:w="1927" w:type="dxa"/>
            <w:tcBorders>
              <w:top w:val="single" w:sz="4" w:space="0" w:color="808080"/>
              <w:left w:val="nil"/>
              <w:bottom w:val="single" w:sz="4" w:space="0" w:color="808080"/>
              <w:right w:val="nil"/>
            </w:tcBorders>
            <w:shd w:val="clear" w:color="FFFFFF" w:fill="FFFFFF"/>
            <w:noWrap/>
            <w:vAlign w:val="bottom"/>
            <w:hideMark/>
          </w:tcPr>
          <w:p w14:paraId="01D00F36" w14:textId="77777777" w:rsidR="00587FB1" w:rsidRPr="008E4384" w:rsidRDefault="00587FB1" w:rsidP="00587FB1">
            <w:pPr>
              <w:rPr>
                <w:b/>
                <w:bCs/>
                <w:color w:val="000000"/>
                <w:sz w:val="22"/>
                <w:szCs w:val="22"/>
              </w:rPr>
            </w:pPr>
            <w:r w:rsidRPr="008E4384">
              <w:rPr>
                <w:b/>
                <w:bCs/>
                <w:color w:val="000000"/>
                <w:sz w:val="22"/>
                <w:szCs w:val="22"/>
              </w:rPr>
              <w:t>Total</w:t>
            </w:r>
          </w:p>
        </w:tc>
        <w:tc>
          <w:tcPr>
            <w:tcW w:w="1322" w:type="dxa"/>
            <w:tcBorders>
              <w:top w:val="single" w:sz="4" w:space="0" w:color="808080"/>
              <w:left w:val="nil"/>
              <w:bottom w:val="single" w:sz="4" w:space="0" w:color="808080"/>
              <w:right w:val="nil"/>
            </w:tcBorders>
            <w:shd w:val="clear" w:color="FFFFFF" w:fill="FFFFFF"/>
            <w:noWrap/>
            <w:vAlign w:val="bottom"/>
            <w:hideMark/>
          </w:tcPr>
          <w:p w14:paraId="25E42D9D" w14:textId="77777777" w:rsidR="00587FB1" w:rsidRPr="008E4384" w:rsidRDefault="00587FB1" w:rsidP="00587FB1">
            <w:pPr>
              <w:jc w:val="right"/>
              <w:rPr>
                <w:b/>
                <w:bCs/>
                <w:color w:val="000000"/>
                <w:sz w:val="22"/>
                <w:szCs w:val="22"/>
              </w:rPr>
            </w:pPr>
            <w:r w:rsidRPr="008E4384">
              <w:rPr>
                <w:b/>
                <w:bCs/>
                <w:color w:val="000000"/>
                <w:sz w:val="22"/>
                <w:szCs w:val="22"/>
              </w:rPr>
              <w:t>3169</w:t>
            </w:r>
          </w:p>
        </w:tc>
      </w:tr>
    </w:tbl>
    <w:p w14:paraId="55CDFF5D" w14:textId="77777777" w:rsidR="00587FB1" w:rsidRPr="00587FB1" w:rsidRDefault="00587FB1" w:rsidP="00450032">
      <w:pPr>
        <w:rPr>
          <w:b/>
          <w:bCs/>
        </w:rPr>
      </w:pPr>
    </w:p>
    <w:p w14:paraId="6ABC87C3" w14:textId="2C367C06" w:rsidR="00587FB1" w:rsidRDefault="00587FB1" w:rsidP="00450032">
      <w:pPr>
        <w:rPr>
          <w:b/>
          <w:bCs/>
        </w:rPr>
        <w:sectPr w:rsidR="00587FB1" w:rsidSect="00E644DF">
          <w:endnotePr>
            <w:numFmt w:val="decimal"/>
          </w:endnotePr>
          <w:pgSz w:w="12240" w:h="15840"/>
          <w:pgMar w:top="1440" w:right="1440" w:bottom="1440" w:left="1440" w:header="720" w:footer="720" w:gutter="0"/>
          <w:cols w:space="720"/>
          <w:docGrid w:linePitch="360"/>
        </w:sectPr>
      </w:pPr>
      <w:r>
        <w:rPr>
          <w:noProof/>
        </w:rPr>
        <w:drawing>
          <wp:inline distT="0" distB="0" distL="0" distR="0" wp14:anchorId="528A17D2" wp14:editId="711D04FA">
            <wp:extent cx="3333750" cy="3938954"/>
            <wp:effectExtent l="0" t="0" r="6350" b="10795"/>
            <wp:docPr id="10" name="Chart 10">
              <a:extLst xmlns:a="http://schemas.openxmlformats.org/drawingml/2006/main">
                <a:ext uri="{FF2B5EF4-FFF2-40B4-BE49-F238E27FC236}">
                  <a16:creationId xmlns:a16="http://schemas.microsoft.com/office/drawing/2014/main" id="{952D3558-42AD-8D47-988C-ECF231EA9B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A54D6EC" w14:textId="21619779" w:rsidR="00344F27" w:rsidRDefault="00344F27" w:rsidP="00450032">
      <w:pPr>
        <w:rPr>
          <w:u w:val="single"/>
        </w:rPr>
      </w:pPr>
    </w:p>
    <w:p w14:paraId="580CA242" w14:textId="7FECC6F4" w:rsidR="008E4384" w:rsidRDefault="008E4384" w:rsidP="008E4384">
      <w:pPr>
        <w:pStyle w:val="NoSpacing"/>
      </w:pPr>
      <w:r>
        <w:tab/>
      </w:r>
      <w:r>
        <w:tab/>
      </w:r>
      <w:r>
        <w:tab/>
      </w:r>
      <w:r>
        <w:tab/>
      </w:r>
      <w:r>
        <w:tab/>
      </w:r>
      <w:r>
        <w:tab/>
      </w:r>
      <w:r>
        <w:tab/>
      </w:r>
      <w:r>
        <w:tab/>
      </w:r>
      <w:r>
        <w:tab/>
      </w:r>
    </w:p>
    <w:p w14:paraId="62EC3D6D" w14:textId="0D15A7BA" w:rsidR="00A9038F" w:rsidRPr="008E4384" w:rsidRDefault="008E4384" w:rsidP="00450032">
      <w:pPr>
        <w:rPr>
          <w:b/>
          <w:bCs/>
        </w:rPr>
      </w:pPr>
      <w:r>
        <w:rPr>
          <w:noProof/>
        </w:rPr>
        <w:drawing>
          <wp:inline distT="0" distB="0" distL="0" distR="0" wp14:anchorId="3A4C1A67" wp14:editId="4202983C">
            <wp:extent cx="6569075" cy="4339052"/>
            <wp:effectExtent l="0" t="0" r="9525" b="17145"/>
            <wp:docPr id="3" name="Chart 3">
              <a:extLst xmlns:a="http://schemas.openxmlformats.org/drawingml/2006/main">
                <a:ext uri="{FF2B5EF4-FFF2-40B4-BE49-F238E27FC236}">
                  <a16:creationId xmlns:a16="http://schemas.microsoft.com/office/drawing/2014/main" id="{298FE2FB-D53B-AD48-AEE2-4348ED9E0D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pPr w:leftFromText="180" w:rightFromText="180" w:vertAnchor="text" w:horzAnchor="page" w:tblpX="1640" w:tblpY="949"/>
        <w:tblW w:w="3355" w:type="dxa"/>
        <w:tblLook w:val="04A0" w:firstRow="1" w:lastRow="0" w:firstColumn="1" w:lastColumn="0" w:noHBand="0" w:noVBand="1"/>
      </w:tblPr>
      <w:tblGrid>
        <w:gridCol w:w="1927"/>
        <w:gridCol w:w="1428"/>
      </w:tblGrid>
      <w:tr w:rsidR="00587FB1" w:rsidRPr="008E4384" w14:paraId="6F95D23D" w14:textId="77777777" w:rsidTr="00587FB1">
        <w:trPr>
          <w:trHeight w:val="271"/>
        </w:trPr>
        <w:tc>
          <w:tcPr>
            <w:tcW w:w="1927" w:type="dxa"/>
            <w:tcBorders>
              <w:top w:val="single" w:sz="4" w:space="0" w:color="D9D9D9"/>
              <w:left w:val="nil"/>
              <w:bottom w:val="single" w:sz="4" w:space="0" w:color="D9D9D9"/>
              <w:right w:val="nil"/>
            </w:tcBorders>
            <w:shd w:val="clear" w:color="auto" w:fill="auto"/>
            <w:noWrap/>
            <w:vAlign w:val="bottom"/>
            <w:hideMark/>
          </w:tcPr>
          <w:p w14:paraId="5E47E6F0" w14:textId="77777777" w:rsidR="00587FB1" w:rsidRPr="008E4384" w:rsidRDefault="00587FB1" w:rsidP="00587FB1">
            <w:pPr>
              <w:rPr>
                <w:color w:val="000000"/>
                <w:sz w:val="22"/>
                <w:szCs w:val="22"/>
              </w:rPr>
            </w:pPr>
            <w:r w:rsidRPr="008E4384">
              <w:rPr>
                <w:color w:val="000000"/>
                <w:sz w:val="22"/>
                <w:szCs w:val="22"/>
              </w:rPr>
              <w:t>Individual/uncoded</w:t>
            </w:r>
          </w:p>
        </w:tc>
        <w:tc>
          <w:tcPr>
            <w:tcW w:w="1428" w:type="dxa"/>
            <w:tcBorders>
              <w:top w:val="single" w:sz="4" w:space="0" w:color="D9D9D9"/>
              <w:left w:val="nil"/>
              <w:bottom w:val="single" w:sz="4" w:space="0" w:color="D9D9D9"/>
              <w:right w:val="nil"/>
            </w:tcBorders>
            <w:shd w:val="clear" w:color="auto" w:fill="auto"/>
            <w:noWrap/>
            <w:vAlign w:val="bottom"/>
            <w:hideMark/>
          </w:tcPr>
          <w:p w14:paraId="07735BCF" w14:textId="77777777" w:rsidR="00587FB1" w:rsidRPr="008E4384" w:rsidRDefault="00587FB1" w:rsidP="00587FB1">
            <w:pPr>
              <w:jc w:val="right"/>
              <w:rPr>
                <w:color w:val="000000"/>
                <w:sz w:val="22"/>
                <w:szCs w:val="22"/>
              </w:rPr>
            </w:pPr>
            <w:r w:rsidRPr="008E4384">
              <w:rPr>
                <w:color w:val="000000"/>
                <w:sz w:val="22"/>
                <w:szCs w:val="22"/>
              </w:rPr>
              <w:t>270</w:t>
            </w:r>
          </w:p>
        </w:tc>
      </w:tr>
      <w:tr w:rsidR="00587FB1" w:rsidRPr="008E4384" w14:paraId="08BB5672" w14:textId="77777777" w:rsidTr="00587FB1">
        <w:trPr>
          <w:trHeight w:val="271"/>
        </w:trPr>
        <w:tc>
          <w:tcPr>
            <w:tcW w:w="1927" w:type="dxa"/>
            <w:tcBorders>
              <w:top w:val="single" w:sz="4" w:space="0" w:color="D9D9D9"/>
              <w:left w:val="nil"/>
              <w:bottom w:val="single" w:sz="4" w:space="0" w:color="D9D9D9"/>
              <w:right w:val="nil"/>
            </w:tcBorders>
            <w:shd w:val="clear" w:color="auto" w:fill="auto"/>
            <w:noWrap/>
            <w:vAlign w:val="bottom"/>
            <w:hideMark/>
          </w:tcPr>
          <w:p w14:paraId="61AF5748" w14:textId="77777777" w:rsidR="00587FB1" w:rsidRPr="008E4384" w:rsidRDefault="00587FB1" w:rsidP="00587FB1">
            <w:pPr>
              <w:rPr>
                <w:color w:val="000000"/>
                <w:sz w:val="22"/>
                <w:szCs w:val="22"/>
              </w:rPr>
            </w:pPr>
            <w:r w:rsidRPr="008E4384">
              <w:rPr>
                <w:color w:val="000000"/>
                <w:sz w:val="22"/>
                <w:szCs w:val="22"/>
              </w:rPr>
              <w:t>For-profit business</w:t>
            </w:r>
          </w:p>
        </w:tc>
        <w:tc>
          <w:tcPr>
            <w:tcW w:w="1428" w:type="dxa"/>
            <w:tcBorders>
              <w:top w:val="single" w:sz="4" w:space="0" w:color="D9D9D9"/>
              <w:left w:val="nil"/>
              <w:bottom w:val="single" w:sz="4" w:space="0" w:color="D9D9D9"/>
              <w:right w:val="nil"/>
            </w:tcBorders>
            <w:shd w:val="clear" w:color="auto" w:fill="auto"/>
            <w:noWrap/>
            <w:vAlign w:val="bottom"/>
            <w:hideMark/>
          </w:tcPr>
          <w:p w14:paraId="1EB45F5E" w14:textId="77777777" w:rsidR="00587FB1" w:rsidRPr="008E4384" w:rsidRDefault="00587FB1" w:rsidP="00587FB1">
            <w:pPr>
              <w:jc w:val="right"/>
              <w:rPr>
                <w:color w:val="000000"/>
                <w:sz w:val="22"/>
                <w:szCs w:val="22"/>
              </w:rPr>
            </w:pPr>
            <w:r w:rsidRPr="008E4384">
              <w:rPr>
                <w:color w:val="000000"/>
                <w:sz w:val="22"/>
                <w:szCs w:val="22"/>
              </w:rPr>
              <w:t>254</w:t>
            </w:r>
          </w:p>
        </w:tc>
      </w:tr>
      <w:tr w:rsidR="00587FB1" w:rsidRPr="008E4384" w14:paraId="2D9FC54A" w14:textId="77777777" w:rsidTr="00587FB1">
        <w:trPr>
          <w:trHeight w:val="271"/>
        </w:trPr>
        <w:tc>
          <w:tcPr>
            <w:tcW w:w="1927" w:type="dxa"/>
            <w:tcBorders>
              <w:top w:val="single" w:sz="4" w:space="0" w:color="D9D9D9"/>
              <w:left w:val="nil"/>
              <w:bottom w:val="single" w:sz="4" w:space="0" w:color="D9D9D9"/>
              <w:right w:val="nil"/>
            </w:tcBorders>
            <w:shd w:val="clear" w:color="auto" w:fill="auto"/>
            <w:noWrap/>
            <w:vAlign w:val="bottom"/>
            <w:hideMark/>
          </w:tcPr>
          <w:p w14:paraId="15EFF6DC" w14:textId="77777777" w:rsidR="00587FB1" w:rsidRPr="008E4384" w:rsidRDefault="00587FB1" w:rsidP="00587FB1">
            <w:pPr>
              <w:rPr>
                <w:color w:val="000000"/>
                <w:sz w:val="22"/>
                <w:szCs w:val="22"/>
              </w:rPr>
            </w:pPr>
            <w:r w:rsidRPr="008E4384">
              <w:rPr>
                <w:color w:val="000000"/>
                <w:sz w:val="22"/>
                <w:szCs w:val="22"/>
              </w:rPr>
              <w:t>Media</w:t>
            </w:r>
          </w:p>
        </w:tc>
        <w:tc>
          <w:tcPr>
            <w:tcW w:w="1428" w:type="dxa"/>
            <w:tcBorders>
              <w:top w:val="single" w:sz="4" w:space="0" w:color="D9D9D9"/>
              <w:left w:val="nil"/>
              <w:bottom w:val="single" w:sz="4" w:space="0" w:color="D9D9D9"/>
              <w:right w:val="nil"/>
            </w:tcBorders>
            <w:shd w:val="clear" w:color="auto" w:fill="auto"/>
            <w:noWrap/>
            <w:vAlign w:val="bottom"/>
            <w:hideMark/>
          </w:tcPr>
          <w:p w14:paraId="31DE062D" w14:textId="77777777" w:rsidR="00587FB1" w:rsidRPr="008E4384" w:rsidRDefault="00587FB1" w:rsidP="00587FB1">
            <w:pPr>
              <w:jc w:val="right"/>
              <w:rPr>
                <w:color w:val="000000"/>
                <w:sz w:val="22"/>
                <w:szCs w:val="22"/>
              </w:rPr>
            </w:pPr>
            <w:r w:rsidRPr="008E4384">
              <w:rPr>
                <w:color w:val="000000"/>
                <w:sz w:val="22"/>
                <w:szCs w:val="22"/>
              </w:rPr>
              <w:t>38</w:t>
            </w:r>
          </w:p>
        </w:tc>
      </w:tr>
      <w:tr w:rsidR="00587FB1" w:rsidRPr="008E4384" w14:paraId="7F1DD81A" w14:textId="77777777" w:rsidTr="00587FB1">
        <w:trPr>
          <w:trHeight w:val="271"/>
        </w:trPr>
        <w:tc>
          <w:tcPr>
            <w:tcW w:w="1927" w:type="dxa"/>
            <w:tcBorders>
              <w:top w:val="single" w:sz="4" w:space="0" w:color="D9D9D9"/>
              <w:left w:val="nil"/>
              <w:bottom w:val="single" w:sz="4" w:space="0" w:color="D9D9D9"/>
              <w:right w:val="nil"/>
            </w:tcBorders>
            <w:shd w:val="clear" w:color="auto" w:fill="auto"/>
            <w:noWrap/>
            <w:vAlign w:val="bottom"/>
            <w:hideMark/>
          </w:tcPr>
          <w:p w14:paraId="656072A9" w14:textId="77777777" w:rsidR="00587FB1" w:rsidRPr="008E4384" w:rsidRDefault="00587FB1" w:rsidP="00587FB1">
            <w:pPr>
              <w:rPr>
                <w:color w:val="000000"/>
                <w:sz w:val="22"/>
                <w:szCs w:val="22"/>
              </w:rPr>
            </w:pPr>
            <w:r w:rsidRPr="008E4384">
              <w:rPr>
                <w:color w:val="000000"/>
                <w:sz w:val="22"/>
                <w:szCs w:val="22"/>
              </w:rPr>
              <w:t>Legal</w:t>
            </w:r>
          </w:p>
        </w:tc>
        <w:tc>
          <w:tcPr>
            <w:tcW w:w="1428" w:type="dxa"/>
            <w:tcBorders>
              <w:top w:val="single" w:sz="4" w:space="0" w:color="D9D9D9"/>
              <w:left w:val="nil"/>
              <w:bottom w:val="single" w:sz="4" w:space="0" w:color="D9D9D9"/>
              <w:right w:val="nil"/>
            </w:tcBorders>
            <w:shd w:val="clear" w:color="auto" w:fill="auto"/>
            <w:noWrap/>
            <w:vAlign w:val="bottom"/>
            <w:hideMark/>
          </w:tcPr>
          <w:p w14:paraId="401BA1E0" w14:textId="77777777" w:rsidR="00587FB1" w:rsidRPr="008E4384" w:rsidRDefault="00587FB1" w:rsidP="00587FB1">
            <w:pPr>
              <w:jc w:val="right"/>
              <w:rPr>
                <w:color w:val="000000"/>
                <w:sz w:val="22"/>
                <w:szCs w:val="22"/>
              </w:rPr>
            </w:pPr>
            <w:r w:rsidRPr="008E4384">
              <w:rPr>
                <w:color w:val="000000"/>
                <w:sz w:val="22"/>
                <w:szCs w:val="22"/>
              </w:rPr>
              <w:t>21</w:t>
            </w:r>
          </w:p>
        </w:tc>
      </w:tr>
      <w:tr w:rsidR="00587FB1" w:rsidRPr="008E4384" w14:paraId="636E40F3" w14:textId="77777777" w:rsidTr="00587FB1">
        <w:trPr>
          <w:trHeight w:val="271"/>
        </w:trPr>
        <w:tc>
          <w:tcPr>
            <w:tcW w:w="1927" w:type="dxa"/>
            <w:tcBorders>
              <w:top w:val="single" w:sz="4" w:space="0" w:color="D9D9D9"/>
              <w:left w:val="nil"/>
              <w:bottom w:val="single" w:sz="4" w:space="0" w:color="D9D9D9"/>
              <w:right w:val="nil"/>
            </w:tcBorders>
            <w:shd w:val="clear" w:color="auto" w:fill="auto"/>
            <w:noWrap/>
            <w:vAlign w:val="bottom"/>
            <w:hideMark/>
          </w:tcPr>
          <w:p w14:paraId="36F85375" w14:textId="77777777" w:rsidR="00587FB1" w:rsidRPr="008E4384" w:rsidRDefault="00587FB1" w:rsidP="00587FB1">
            <w:pPr>
              <w:rPr>
                <w:color w:val="000000"/>
                <w:sz w:val="22"/>
                <w:szCs w:val="22"/>
              </w:rPr>
            </w:pPr>
            <w:r w:rsidRPr="008E4384">
              <w:rPr>
                <w:color w:val="000000"/>
                <w:sz w:val="22"/>
                <w:szCs w:val="22"/>
              </w:rPr>
              <w:t>Government</w:t>
            </w:r>
          </w:p>
        </w:tc>
        <w:tc>
          <w:tcPr>
            <w:tcW w:w="1428" w:type="dxa"/>
            <w:tcBorders>
              <w:top w:val="single" w:sz="4" w:space="0" w:color="D9D9D9"/>
              <w:left w:val="nil"/>
              <w:bottom w:val="single" w:sz="4" w:space="0" w:color="D9D9D9"/>
              <w:right w:val="nil"/>
            </w:tcBorders>
            <w:shd w:val="clear" w:color="auto" w:fill="auto"/>
            <w:noWrap/>
            <w:vAlign w:val="bottom"/>
            <w:hideMark/>
          </w:tcPr>
          <w:p w14:paraId="6FA68CA3" w14:textId="77777777" w:rsidR="00587FB1" w:rsidRPr="008E4384" w:rsidRDefault="00587FB1" w:rsidP="00587FB1">
            <w:pPr>
              <w:jc w:val="right"/>
              <w:rPr>
                <w:color w:val="000000"/>
                <w:sz w:val="22"/>
                <w:szCs w:val="22"/>
              </w:rPr>
            </w:pPr>
            <w:r w:rsidRPr="008E4384">
              <w:rPr>
                <w:color w:val="000000"/>
                <w:sz w:val="22"/>
                <w:szCs w:val="22"/>
              </w:rPr>
              <w:t>8</w:t>
            </w:r>
          </w:p>
        </w:tc>
      </w:tr>
      <w:tr w:rsidR="00587FB1" w:rsidRPr="008E4384" w14:paraId="5FBEAF8F" w14:textId="77777777" w:rsidTr="00587FB1">
        <w:trPr>
          <w:trHeight w:val="271"/>
        </w:trPr>
        <w:tc>
          <w:tcPr>
            <w:tcW w:w="1927" w:type="dxa"/>
            <w:tcBorders>
              <w:top w:val="single" w:sz="4" w:space="0" w:color="D9D9D9"/>
              <w:left w:val="nil"/>
              <w:bottom w:val="single" w:sz="4" w:space="0" w:color="D9D9D9"/>
              <w:right w:val="nil"/>
            </w:tcBorders>
            <w:shd w:val="clear" w:color="auto" w:fill="auto"/>
            <w:noWrap/>
            <w:vAlign w:val="bottom"/>
            <w:hideMark/>
          </w:tcPr>
          <w:p w14:paraId="17BE8E4F" w14:textId="77777777" w:rsidR="00587FB1" w:rsidRPr="008E4384" w:rsidRDefault="00587FB1" w:rsidP="00587FB1">
            <w:pPr>
              <w:rPr>
                <w:color w:val="000000"/>
                <w:sz w:val="22"/>
                <w:szCs w:val="22"/>
              </w:rPr>
            </w:pPr>
            <w:r w:rsidRPr="008E4384">
              <w:rPr>
                <w:color w:val="000000"/>
                <w:sz w:val="22"/>
                <w:szCs w:val="22"/>
              </w:rPr>
              <w:t>Union</w:t>
            </w:r>
          </w:p>
        </w:tc>
        <w:tc>
          <w:tcPr>
            <w:tcW w:w="1428" w:type="dxa"/>
            <w:tcBorders>
              <w:top w:val="single" w:sz="4" w:space="0" w:color="D9D9D9"/>
              <w:left w:val="nil"/>
              <w:bottom w:val="single" w:sz="4" w:space="0" w:color="D9D9D9"/>
              <w:right w:val="nil"/>
            </w:tcBorders>
            <w:shd w:val="clear" w:color="auto" w:fill="auto"/>
            <w:noWrap/>
            <w:vAlign w:val="bottom"/>
            <w:hideMark/>
          </w:tcPr>
          <w:p w14:paraId="046632FC" w14:textId="77777777" w:rsidR="00587FB1" w:rsidRPr="008E4384" w:rsidRDefault="00587FB1" w:rsidP="00587FB1">
            <w:pPr>
              <w:jc w:val="right"/>
              <w:rPr>
                <w:color w:val="000000"/>
                <w:sz w:val="22"/>
                <w:szCs w:val="22"/>
              </w:rPr>
            </w:pPr>
            <w:r w:rsidRPr="008E4384">
              <w:rPr>
                <w:color w:val="000000"/>
                <w:sz w:val="22"/>
                <w:szCs w:val="22"/>
              </w:rPr>
              <w:t>4</w:t>
            </w:r>
          </w:p>
        </w:tc>
      </w:tr>
      <w:tr w:rsidR="00587FB1" w:rsidRPr="008E4384" w14:paraId="2279D80E" w14:textId="77777777" w:rsidTr="00587FB1">
        <w:trPr>
          <w:trHeight w:val="271"/>
        </w:trPr>
        <w:tc>
          <w:tcPr>
            <w:tcW w:w="1927" w:type="dxa"/>
            <w:tcBorders>
              <w:top w:val="single" w:sz="4" w:space="0" w:color="D9D9D9"/>
              <w:left w:val="nil"/>
              <w:bottom w:val="single" w:sz="4" w:space="0" w:color="D9D9D9"/>
              <w:right w:val="nil"/>
            </w:tcBorders>
            <w:shd w:val="clear" w:color="auto" w:fill="auto"/>
            <w:noWrap/>
            <w:vAlign w:val="bottom"/>
            <w:hideMark/>
          </w:tcPr>
          <w:p w14:paraId="3161DBC3" w14:textId="77777777" w:rsidR="00587FB1" w:rsidRPr="008E4384" w:rsidRDefault="00587FB1" w:rsidP="00587FB1">
            <w:pPr>
              <w:rPr>
                <w:color w:val="000000"/>
                <w:sz w:val="22"/>
                <w:szCs w:val="22"/>
              </w:rPr>
            </w:pPr>
            <w:r w:rsidRPr="008E4384">
              <w:rPr>
                <w:color w:val="000000"/>
                <w:sz w:val="22"/>
                <w:szCs w:val="22"/>
              </w:rPr>
              <w:t>Academic</w:t>
            </w:r>
          </w:p>
        </w:tc>
        <w:tc>
          <w:tcPr>
            <w:tcW w:w="1428" w:type="dxa"/>
            <w:tcBorders>
              <w:top w:val="single" w:sz="4" w:space="0" w:color="D9D9D9"/>
              <w:left w:val="nil"/>
              <w:bottom w:val="single" w:sz="4" w:space="0" w:color="D9D9D9"/>
              <w:right w:val="nil"/>
            </w:tcBorders>
            <w:shd w:val="clear" w:color="auto" w:fill="auto"/>
            <w:noWrap/>
            <w:vAlign w:val="bottom"/>
            <w:hideMark/>
          </w:tcPr>
          <w:p w14:paraId="1238A760" w14:textId="77777777" w:rsidR="00587FB1" w:rsidRPr="008E4384" w:rsidRDefault="00587FB1" w:rsidP="00587FB1">
            <w:pPr>
              <w:jc w:val="right"/>
              <w:rPr>
                <w:color w:val="000000"/>
                <w:sz w:val="22"/>
                <w:szCs w:val="22"/>
              </w:rPr>
            </w:pPr>
            <w:r w:rsidRPr="008E4384">
              <w:rPr>
                <w:color w:val="000000"/>
                <w:sz w:val="22"/>
                <w:szCs w:val="22"/>
              </w:rPr>
              <w:t>3</w:t>
            </w:r>
          </w:p>
        </w:tc>
      </w:tr>
      <w:tr w:rsidR="00587FB1" w:rsidRPr="008E4384" w14:paraId="1E1D3FCC" w14:textId="77777777" w:rsidTr="00587FB1">
        <w:trPr>
          <w:trHeight w:val="271"/>
        </w:trPr>
        <w:tc>
          <w:tcPr>
            <w:tcW w:w="1927" w:type="dxa"/>
            <w:tcBorders>
              <w:top w:val="single" w:sz="4" w:space="0" w:color="D9D9D9"/>
              <w:left w:val="nil"/>
              <w:bottom w:val="single" w:sz="4" w:space="0" w:color="D9D9D9"/>
              <w:right w:val="nil"/>
            </w:tcBorders>
            <w:shd w:val="clear" w:color="auto" w:fill="auto"/>
            <w:noWrap/>
            <w:vAlign w:val="bottom"/>
            <w:hideMark/>
          </w:tcPr>
          <w:p w14:paraId="3762642F" w14:textId="77777777" w:rsidR="00587FB1" w:rsidRPr="008E4384" w:rsidRDefault="00587FB1" w:rsidP="00587FB1">
            <w:pPr>
              <w:rPr>
                <w:color w:val="000000"/>
                <w:sz w:val="22"/>
                <w:szCs w:val="22"/>
              </w:rPr>
            </w:pPr>
            <w:r w:rsidRPr="008E4384">
              <w:rPr>
                <w:color w:val="000000"/>
                <w:sz w:val="22"/>
                <w:szCs w:val="22"/>
              </w:rPr>
              <w:t>Nonprofit</w:t>
            </w:r>
          </w:p>
        </w:tc>
        <w:tc>
          <w:tcPr>
            <w:tcW w:w="1428" w:type="dxa"/>
            <w:tcBorders>
              <w:top w:val="single" w:sz="4" w:space="0" w:color="D9D9D9"/>
              <w:left w:val="nil"/>
              <w:bottom w:val="single" w:sz="4" w:space="0" w:color="D9D9D9"/>
              <w:right w:val="nil"/>
            </w:tcBorders>
            <w:shd w:val="clear" w:color="auto" w:fill="auto"/>
            <w:noWrap/>
            <w:vAlign w:val="bottom"/>
            <w:hideMark/>
          </w:tcPr>
          <w:p w14:paraId="54AA2368" w14:textId="77777777" w:rsidR="00587FB1" w:rsidRPr="008E4384" w:rsidRDefault="00587FB1" w:rsidP="00587FB1">
            <w:pPr>
              <w:jc w:val="right"/>
              <w:rPr>
                <w:color w:val="000000"/>
                <w:sz w:val="22"/>
                <w:szCs w:val="22"/>
              </w:rPr>
            </w:pPr>
            <w:r w:rsidRPr="008E4384">
              <w:rPr>
                <w:color w:val="000000"/>
                <w:sz w:val="22"/>
                <w:szCs w:val="22"/>
              </w:rPr>
              <w:t>2</w:t>
            </w:r>
          </w:p>
        </w:tc>
      </w:tr>
      <w:tr w:rsidR="00587FB1" w:rsidRPr="008E4384" w14:paraId="502178D6" w14:textId="77777777" w:rsidTr="00587FB1">
        <w:trPr>
          <w:trHeight w:val="271"/>
        </w:trPr>
        <w:tc>
          <w:tcPr>
            <w:tcW w:w="1927" w:type="dxa"/>
            <w:tcBorders>
              <w:top w:val="single" w:sz="4" w:space="0" w:color="D9D9D9"/>
              <w:left w:val="nil"/>
              <w:bottom w:val="single" w:sz="4" w:space="0" w:color="D9D9D9"/>
              <w:right w:val="nil"/>
            </w:tcBorders>
            <w:shd w:val="clear" w:color="auto" w:fill="auto"/>
            <w:noWrap/>
            <w:vAlign w:val="bottom"/>
            <w:hideMark/>
          </w:tcPr>
          <w:p w14:paraId="632547FA" w14:textId="77777777" w:rsidR="00587FB1" w:rsidRPr="008E4384" w:rsidRDefault="00587FB1" w:rsidP="00587FB1">
            <w:pPr>
              <w:rPr>
                <w:color w:val="000000"/>
                <w:sz w:val="22"/>
                <w:szCs w:val="22"/>
              </w:rPr>
            </w:pPr>
            <w:r w:rsidRPr="008E4384">
              <w:rPr>
                <w:color w:val="000000"/>
                <w:sz w:val="22"/>
                <w:szCs w:val="22"/>
              </w:rPr>
              <w:t>Insurance</w:t>
            </w:r>
          </w:p>
        </w:tc>
        <w:tc>
          <w:tcPr>
            <w:tcW w:w="1428" w:type="dxa"/>
            <w:tcBorders>
              <w:top w:val="single" w:sz="4" w:space="0" w:color="D9D9D9"/>
              <w:left w:val="nil"/>
              <w:bottom w:val="single" w:sz="4" w:space="0" w:color="D9D9D9"/>
              <w:right w:val="nil"/>
            </w:tcBorders>
            <w:shd w:val="clear" w:color="auto" w:fill="auto"/>
            <w:noWrap/>
            <w:vAlign w:val="bottom"/>
            <w:hideMark/>
          </w:tcPr>
          <w:p w14:paraId="28473DFA" w14:textId="77777777" w:rsidR="00587FB1" w:rsidRPr="008E4384" w:rsidRDefault="00587FB1" w:rsidP="00587FB1">
            <w:pPr>
              <w:jc w:val="right"/>
              <w:rPr>
                <w:color w:val="000000"/>
                <w:sz w:val="22"/>
                <w:szCs w:val="22"/>
              </w:rPr>
            </w:pPr>
            <w:r w:rsidRPr="008E4384">
              <w:rPr>
                <w:color w:val="000000"/>
                <w:sz w:val="22"/>
                <w:szCs w:val="22"/>
              </w:rPr>
              <w:t>1</w:t>
            </w:r>
          </w:p>
        </w:tc>
      </w:tr>
      <w:tr w:rsidR="00587FB1" w:rsidRPr="008E4384" w14:paraId="1BE431AC" w14:textId="77777777" w:rsidTr="00587FB1">
        <w:trPr>
          <w:trHeight w:val="271"/>
        </w:trPr>
        <w:tc>
          <w:tcPr>
            <w:tcW w:w="1927" w:type="dxa"/>
            <w:tcBorders>
              <w:top w:val="single" w:sz="4" w:space="0" w:color="D9D9D9"/>
              <w:left w:val="nil"/>
              <w:bottom w:val="single" w:sz="4" w:space="0" w:color="D9D9D9"/>
              <w:right w:val="nil"/>
            </w:tcBorders>
            <w:shd w:val="clear" w:color="auto" w:fill="auto"/>
            <w:noWrap/>
            <w:vAlign w:val="bottom"/>
            <w:hideMark/>
          </w:tcPr>
          <w:p w14:paraId="2F257B7E" w14:textId="77777777" w:rsidR="00587FB1" w:rsidRPr="008E4384" w:rsidRDefault="00587FB1" w:rsidP="00587FB1">
            <w:pPr>
              <w:rPr>
                <w:color w:val="000000"/>
                <w:sz w:val="22"/>
                <w:szCs w:val="22"/>
              </w:rPr>
            </w:pPr>
            <w:r w:rsidRPr="008E4384">
              <w:rPr>
                <w:color w:val="000000"/>
                <w:sz w:val="22"/>
                <w:szCs w:val="22"/>
              </w:rPr>
              <w:t>Lobbyist</w:t>
            </w:r>
          </w:p>
        </w:tc>
        <w:tc>
          <w:tcPr>
            <w:tcW w:w="1428" w:type="dxa"/>
            <w:tcBorders>
              <w:top w:val="single" w:sz="4" w:space="0" w:color="D9D9D9"/>
              <w:left w:val="nil"/>
              <w:bottom w:val="single" w:sz="4" w:space="0" w:color="D9D9D9"/>
              <w:right w:val="nil"/>
            </w:tcBorders>
            <w:shd w:val="clear" w:color="auto" w:fill="auto"/>
            <w:noWrap/>
            <w:vAlign w:val="bottom"/>
            <w:hideMark/>
          </w:tcPr>
          <w:p w14:paraId="4BFF4AC4" w14:textId="77777777" w:rsidR="00587FB1" w:rsidRPr="008E4384" w:rsidRDefault="00587FB1" w:rsidP="00587FB1">
            <w:pPr>
              <w:jc w:val="right"/>
              <w:rPr>
                <w:color w:val="000000"/>
                <w:sz w:val="22"/>
                <w:szCs w:val="22"/>
              </w:rPr>
            </w:pPr>
            <w:r w:rsidRPr="008E4384">
              <w:rPr>
                <w:color w:val="000000"/>
                <w:sz w:val="22"/>
                <w:szCs w:val="22"/>
              </w:rPr>
              <w:t>1</w:t>
            </w:r>
          </w:p>
        </w:tc>
      </w:tr>
      <w:tr w:rsidR="00587FB1" w:rsidRPr="008E4384" w14:paraId="48D9F80D" w14:textId="77777777" w:rsidTr="00587FB1">
        <w:trPr>
          <w:trHeight w:val="271"/>
        </w:trPr>
        <w:tc>
          <w:tcPr>
            <w:tcW w:w="1927" w:type="dxa"/>
            <w:tcBorders>
              <w:top w:val="single" w:sz="4" w:space="0" w:color="808080"/>
              <w:left w:val="nil"/>
              <w:bottom w:val="single" w:sz="4" w:space="0" w:color="808080"/>
              <w:right w:val="nil"/>
            </w:tcBorders>
            <w:shd w:val="clear" w:color="FFFFFF" w:fill="FFFFFF"/>
            <w:noWrap/>
            <w:vAlign w:val="bottom"/>
            <w:hideMark/>
          </w:tcPr>
          <w:p w14:paraId="1C525F9D" w14:textId="77777777" w:rsidR="00587FB1" w:rsidRPr="008E4384" w:rsidRDefault="00587FB1" w:rsidP="00587FB1">
            <w:pPr>
              <w:rPr>
                <w:b/>
                <w:bCs/>
                <w:color w:val="000000"/>
                <w:sz w:val="22"/>
                <w:szCs w:val="22"/>
              </w:rPr>
            </w:pPr>
            <w:r w:rsidRPr="008E4384">
              <w:rPr>
                <w:b/>
                <w:bCs/>
                <w:color w:val="000000"/>
                <w:sz w:val="22"/>
                <w:szCs w:val="22"/>
              </w:rPr>
              <w:t>Total</w:t>
            </w:r>
          </w:p>
        </w:tc>
        <w:tc>
          <w:tcPr>
            <w:tcW w:w="1428" w:type="dxa"/>
            <w:tcBorders>
              <w:top w:val="single" w:sz="4" w:space="0" w:color="808080"/>
              <w:left w:val="nil"/>
              <w:bottom w:val="single" w:sz="4" w:space="0" w:color="808080"/>
              <w:right w:val="nil"/>
            </w:tcBorders>
            <w:shd w:val="clear" w:color="FFFFFF" w:fill="FFFFFF"/>
            <w:noWrap/>
            <w:vAlign w:val="bottom"/>
            <w:hideMark/>
          </w:tcPr>
          <w:p w14:paraId="1F2AD27E" w14:textId="77777777" w:rsidR="00587FB1" w:rsidRPr="008E4384" w:rsidRDefault="00587FB1" w:rsidP="00587FB1">
            <w:pPr>
              <w:jc w:val="right"/>
              <w:rPr>
                <w:b/>
                <w:bCs/>
                <w:color w:val="000000"/>
                <w:sz w:val="22"/>
                <w:szCs w:val="22"/>
              </w:rPr>
            </w:pPr>
            <w:r w:rsidRPr="008E4384">
              <w:rPr>
                <w:b/>
                <w:bCs/>
                <w:color w:val="000000"/>
                <w:sz w:val="22"/>
                <w:szCs w:val="22"/>
              </w:rPr>
              <w:t>602</w:t>
            </w:r>
          </w:p>
        </w:tc>
      </w:tr>
    </w:tbl>
    <w:p w14:paraId="36B16B75" w14:textId="77777777" w:rsidR="00587FB1" w:rsidRDefault="00587FB1" w:rsidP="00450032"/>
    <w:p w14:paraId="374C9D8D" w14:textId="77777777" w:rsidR="00587FB1" w:rsidRDefault="00587FB1" w:rsidP="00450032"/>
    <w:p w14:paraId="60FFF4D1" w14:textId="4BCF6AF4" w:rsidR="00A9038F" w:rsidRPr="00587FB1" w:rsidRDefault="00587FB1" w:rsidP="00450032">
      <w:r>
        <w:tab/>
      </w:r>
      <w:r>
        <w:rPr>
          <w:b/>
          <w:bCs/>
        </w:rPr>
        <w:t>Lottery</w:t>
      </w:r>
      <w:r>
        <w:tab/>
      </w:r>
    </w:p>
    <w:p w14:paraId="6215F16A" w14:textId="42D889E3" w:rsidR="00A9038F" w:rsidRDefault="00A9038F" w:rsidP="00450032">
      <w:r>
        <w:lastRenderedPageBreak/>
        <w:tab/>
        <w:t xml:space="preserve"> </w:t>
      </w:r>
      <w:r w:rsidR="00587FB1">
        <w:rPr>
          <w:noProof/>
        </w:rPr>
        <w:drawing>
          <wp:inline distT="0" distB="0" distL="0" distR="0" wp14:anchorId="082E9AEA" wp14:editId="00AE012F">
            <wp:extent cx="5725551" cy="4373880"/>
            <wp:effectExtent l="0" t="0" r="15240" b="7620"/>
            <wp:docPr id="11" name="Chart 11">
              <a:extLst xmlns:a="http://schemas.openxmlformats.org/drawingml/2006/main">
                <a:ext uri="{FF2B5EF4-FFF2-40B4-BE49-F238E27FC236}">
                  <a16:creationId xmlns:a16="http://schemas.microsoft.com/office/drawing/2014/main" id="{FAD5447E-C79D-3E43-B80E-71BC78CB4A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71DDE84" w14:textId="67FF25A1" w:rsidR="008E4384" w:rsidRPr="008E4384" w:rsidRDefault="008E4384" w:rsidP="00450032">
      <w:pPr>
        <w:rPr>
          <w:b/>
          <w:bCs/>
        </w:rPr>
      </w:pPr>
      <w:r>
        <w:tab/>
      </w:r>
      <w:r w:rsidR="00587FB1">
        <w:rPr>
          <w:b/>
          <w:bCs/>
        </w:rPr>
        <w:t>EOG</w:t>
      </w:r>
      <w:r>
        <w:tab/>
      </w:r>
      <w:r>
        <w:tab/>
      </w:r>
      <w:r>
        <w:tab/>
      </w:r>
      <w:r>
        <w:tab/>
      </w:r>
      <w:r>
        <w:tab/>
      </w:r>
      <w:r>
        <w:tab/>
      </w:r>
      <w:r>
        <w:tab/>
      </w:r>
      <w:r>
        <w:tab/>
      </w:r>
    </w:p>
    <w:p w14:paraId="72AE7B20" w14:textId="71A102D8" w:rsidR="00A9038F" w:rsidRPr="00A9038F" w:rsidRDefault="00A9038F" w:rsidP="00450032"/>
    <w:tbl>
      <w:tblPr>
        <w:tblpPr w:leftFromText="180" w:rightFromText="180" w:vertAnchor="text" w:horzAnchor="page" w:tblpX="1973" w:tblpY="-23"/>
        <w:tblW w:w="3260" w:type="dxa"/>
        <w:tblLook w:val="04A0" w:firstRow="1" w:lastRow="0" w:firstColumn="1" w:lastColumn="0" w:noHBand="0" w:noVBand="1"/>
      </w:tblPr>
      <w:tblGrid>
        <w:gridCol w:w="1927"/>
        <w:gridCol w:w="1333"/>
      </w:tblGrid>
      <w:tr w:rsidR="00587FB1" w:rsidRPr="008E4384" w14:paraId="5901FCC9" w14:textId="77777777" w:rsidTr="00587FB1">
        <w:trPr>
          <w:trHeight w:val="297"/>
        </w:trPr>
        <w:tc>
          <w:tcPr>
            <w:tcW w:w="1927" w:type="dxa"/>
            <w:tcBorders>
              <w:top w:val="single" w:sz="4" w:space="0" w:color="D9D9D9"/>
              <w:left w:val="nil"/>
              <w:bottom w:val="single" w:sz="4" w:space="0" w:color="D9D9D9"/>
              <w:right w:val="nil"/>
            </w:tcBorders>
            <w:shd w:val="clear" w:color="auto" w:fill="auto"/>
            <w:noWrap/>
            <w:vAlign w:val="bottom"/>
            <w:hideMark/>
          </w:tcPr>
          <w:p w14:paraId="7CB1FFAE" w14:textId="77777777" w:rsidR="00587FB1" w:rsidRPr="008E4384" w:rsidRDefault="00587FB1" w:rsidP="00587FB1">
            <w:pPr>
              <w:rPr>
                <w:color w:val="000000"/>
                <w:sz w:val="22"/>
                <w:szCs w:val="22"/>
              </w:rPr>
            </w:pPr>
            <w:r w:rsidRPr="008E4384">
              <w:rPr>
                <w:color w:val="000000"/>
                <w:sz w:val="22"/>
                <w:szCs w:val="22"/>
              </w:rPr>
              <w:t>Media</w:t>
            </w:r>
          </w:p>
        </w:tc>
        <w:tc>
          <w:tcPr>
            <w:tcW w:w="1333" w:type="dxa"/>
            <w:tcBorders>
              <w:top w:val="single" w:sz="4" w:space="0" w:color="D9D9D9"/>
              <w:left w:val="nil"/>
              <w:bottom w:val="single" w:sz="4" w:space="0" w:color="D9D9D9"/>
              <w:right w:val="nil"/>
            </w:tcBorders>
            <w:shd w:val="clear" w:color="auto" w:fill="auto"/>
            <w:noWrap/>
            <w:vAlign w:val="bottom"/>
            <w:hideMark/>
          </w:tcPr>
          <w:p w14:paraId="53AAC2DA" w14:textId="77777777" w:rsidR="00587FB1" w:rsidRPr="008E4384" w:rsidRDefault="00587FB1" w:rsidP="00587FB1">
            <w:pPr>
              <w:jc w:val="right"/>
              <w:rPr>
                <w:color w:val="000000"/>
                <w:sz w:val="22"/>
                <w:szCs w:val="22"/>
              </w:rPr>
            </w:pPr>
            <w:r w:rsidRPr="008E4384">
              <w:rPr>
                <w:color w:val="000000"/>
                <w:sz w:val="22"/>
                <w:szCs w:val="22"/>
              </w:rPr>
              <w:t>201</w:t>
            </w:r>
          </w:p>
        </w:tc>
      </w:tr>
      <w:tr w:rsidR="00587FB1" w:rsidRPr="008E4384" w14:paraId="5FEFD8B1" w14:textId="77777777" w:rsidTr="00587FB1">
        <w:trPr>
          <w:trHeight w:val="297"/>
        </w:trPr>
        <w:tc>
          <w:tcPr>
            <w:tcW w:w="1927" w:type="dxa"/>
            <w:tcBorders>
              <w:top w:val="single" w:sz="4" w:space="0" w:color="D9D9D9"/>
              <w:left w:val="nil"/>
              <w:bottom w:val="single" w:sz="4" w:space="0" w:color="D9D9D9"/>
              <w:right w:val="nil"/>
            </w:tcBorders>
            <w:shd w:val="clear" w:color="auto" w:fill="auto"/>
            <w:noWrap/>
            <w:vAlign w:val="bottom"/>
            <w:hideMark/>
          </w:tcPr>
          <w:p w14:paraId="3C4B91D2" w14:textId="77777777" w:rsidR="00587FB1" w:rsidRPr="008E4384" w:rsidRDefault="00587FB1" w:rsidP="00587FB1">
            <w:pPr>
              <w:rPr>
                <w:color w:val="000000"/>
                <w:sz w:val="22"/>
                <w:szCs w:val="22"/>
              </w:rPr>
            </w:pPr>
            <w:r w:rsidRPr="008E4384">
              <w:rPr>
                <w:color w:val="000000"/>
                <w:sz w:val="22"/>
                <w:szCs w:val="22"/>
              </w:rPr>
              <w:t>Individual/uncoded</w:t>
            </w:r>
          </w:p>
        </w:tc>
        <w:tc>
          <w:tcPr>
            <w:tcW w:w="1333" w:type="dxa"/>
            <w:tcBorders>
              <w:top w:val="single" w:sz="4" w:space="0" w:color="D9D9D9"/>
              <w:left w:val="nil"/>
              <w:bottom w:val="single" w:sz="4" w:space="0" w:color="D9D9D9"/>
              <w:right w:val="nil"/>
            </w:tcBorders>
            <w:shd w:val="clear" w:color="auto" w:fill="auto"/>
            <w:noWrap/>
            <w:vAlign w:val="bottom"/>
            <w:hideMark/>
          </w:tcPr>
          <w:p w14:paraId="3A260739" w14:textId="77777777" w:rsidR="00587FB1" w:rsidRPr="008E4384" w:rsidRDefault="00587FB1" w:rsidP="00587FB1">
            <w:pPr>
              <w:jc w:val="right"/>
              <w:rPr>
                <w:color w:val="000000"/>
                <w:sz w:val="22"/>
                <w:szCs w:val="22"/>
              </w:rPr>
            </w:pPr>
            <w:r w:rsidRPr="008E4384">
              <w:rPr>
                <w:color w:val="000000"/>
                <w:sz w:val="22"/>
                <w:szCs w:val="22"/>
              </w:rPr>
              <w:t>152</w:t>
            </w:r>
          </w:p>
        </w:tc>
      </w:tr>
      <w:tr w:rsidR="00587FB1" w:rsidRPr="008E4384" w14:paraId="3B7ABB7E" w14:textId="77777777" w:rsidTr="00587FB1">
        <w:trPr>
          <w:trHeight w:val="297"/>
        </w:trPr>
        <w:tc>
          <w:tcPr>
            <w:tcW w:w="1927" w:type="dxa"/>
            <w:tcBorders>
              <w:top w:val="single" w:sz="4" w:space="0" w:color="D9D9D9"/>
              <w:left w:val="nil"/>
              <w:bottom w:val="single" w:sz="4" w:space="0" w:color="D9D9D9"/>
              <w:right w:val="nil"/>
            </w:tcBorders>
            <w:shd w:val="clear" w:color="auto" w:fill="auto"/>
            <w:noWrap/>
            <w:vAlign w:val="bottom"/>
            <w:hideMark/>
          </w:tcPr>
          <w:p w14:paraId="0F58E6FB" w14:textId="77777777" w:rsidR="00587FB1" w:rsidRPr="008E4384" w:rsidRDefault="00587FB1" w:rsidP="00587FB1">
            <w:pPr>
              <w:rPr>
                <w:color w:val="000000"/>
                <w:sz w:val="22"/>
                <w:szCs w:val="22"/>
              </w:rPr>
            </w:pPr>
            <w:r w:rsidRPr="008E4384">
              <w:rPr>
                <w:color w:val="000000"/>
                <w:sz w:val="22"/>
                <w:szCs w:val="22"/>
              </w:rPr>
              <w:t>Nonprofit</w:t>
            </w:r>
          </w:p>
        </w:tc>
        <w:tc>
          <w:tcPr>
            <w:tcW w:w="1333" w:type="dxa"/>
            <w:tcBorders>
              <w:top w:val="single" w:sz="4" w:space="0" w:color="D9D9D9"/>
              <w:left w:val="nil"/>
              <w:bottom w:val="single" w:sz="4" w:space="0" w:color="D9D9D9"/>
              <w:right w:val="nil"/>
            </w:tcBorders>
            <w:shd w:val="clear" w:color="auto" w:fill="auto"/>
            <w:noWrap/>
            <w:vAlign w:val="bottom"/>
            <w:hideMark/>
          </w:tcPr>
          <w:p w14:paraId="60A1D524" w14:textId="77777777" w:rsidR="00587FB1" w:rsidRPr="008E4384" w:rsidRDefault="00587FB1" w:rsidP="00587FB1">
            <w:pPr>
              <w:jc w:val="right"/>
              <w:rPr>
                <w:color w:val="000000"/>
                <w:sz w:val="22"/>
                <w:szCs w:val="22"/>
              </w:rPr>
            </w:pPr>
            <w:r w:rsidRPr="008E4384">
              <w:rPr>
                <w:color w:val="000000"/>
                <w:sz w:val="22"/>
                <w:szCs w:val="22"/>
              </w:rPr>
              <w:t>38</w:t>
            </w:r>
          </w:p>
        </w:tc>
      </w:tr>
      <w:tr w:rsidR="00587FB1" w:rsidRPr="008E4384" w14:paraId="5CE63DE2" w14:textId="77777777" w:rsidTr="00587FB1">
        <w:trPr>
          <w:trHeight w:val="297"/>
        </w:trPr>
        <w:tc>
          <w:tcPr>
            <w:tcW w:w="1927" w:type="dxa"/>
            <w:tcBorders>
              <w:top w:val="single" w:sz="4" w:space="0" w:color="D9D9D9"/>
              <w:left w:val="nil"/>
              <w:bottom w:val="single" w:sz="4" w:space="0" w:color="D9D9D9"/>
              <w:right w:val="nil"/>
            </w:tcBorders>
            <w:shd w:val="clear" w:color="auto" w:fill="auto"/>
            <w:noWrap/>
            <w:vAlign w:val="bottom"/>
            <w:hideMark/>
          </w:tcPr>
          <w:p w14:paraId="6E779C73" w14:textId="77777777" w:rsidR="00587FB1" w:rsidRPr="008E4384" w:rsidRDefault="00587FB1" w:rsidP="00587FB1">
            <w:pPr>
              <w:rPr>
                <w:color w:val="000000"/>
                <w:sz w:val="22"/>
                <w:szCs w:val="22"/>
              </w:rPr>
            </w:pPr>
            <w:r w:rsidRPr="008E4384">
              <w:rPr>
                <w:color w:val="000000"/>
                <w:sz w:val="22"/>
                <w:szCs w:val="22"/>
              </w:rPr>
              <w:t>Legal</w:t>
            </w:r>
          </w:p>
        </w:tc>
        <w:tc>
          <w:tcPr>
            <w:tcW w:w="1333" w:type="dxa"/>
            <w:tcBorders>
              <w:top w:val="single" w:sz="4" w:space="0" w:color="D9D9D9"/>
              <w:left w:val="nil"/>
              <w:bottom w:val="single" w:sz="4" w:space="0" w:color="D9D9D9"/>
              <w:right w:val="nil"/>
            </w:tcBorders>
            <w:shd w:val="clear" w:color="auto" w:fill="auto"/>
            <w:noWrap/>
            <w:vAlign w:val="bottom"/>
            <w:hideMark/>
          </w:tcPr>
          <w:p w14:paraId="7DB9D325" w14:textId="77777777" w:rsidR="00587FB1" w:rsidRPr="008E4384" w:rsidRDefault="00587FB1" w:rsidP="00587FB1">
            <w:pPr>
              <w:jc w:val="right"/>
              <w:rPr>
                <w:color w:val="000000"/>
                <w:sz w:val="22"/>
                <w:szCs w:val="22"/>
              </w:rPr>
            </w:pPr>
            <w:r w:rsidRPr="008E4384">
              <w:rPr>
                <w:color w:val="000000"/>
                <w:sz w:val="22"/>
                <w:szCs w:val="22"/>
              </w:rPr>
              <w:t>37</w:t>
            </w:r>
          </w:p>
        </w:tc>
      </w:tr>
      <w:tr w:rsidR="00587FB1" w:rsidRPr="008E4384" w14:paraId="55398921" w14:textId="77777777" w:rsidTr="00587FB1">
        <w:trPr>
          <w:trHeight w:val="297"/>
        </w:trPr>
        <w:tc>
          <w:tcPr>
            <w:tcW w:w="1927" w:type="dxa"/>
            <w:tcBorders>
              <w:top w:val="single" w:sz="4" w:space="0" w:color="D9D9D9"/>
              <w:left w:val="nil"/>
              <w:bottom w:val="single" w:sz="4" w:space="0" w:color="D9D9D9"/>
              <w:right w:val="nil"/>
            </w:tcBorders>
            <w:shd w:val="clear" w:color="auto" w:fill="auto"/>
            <w:noWrap/>
            <w:vAlign w:val="bottom"/>
            <w:hideMark/>
          </w:tcPr>
          <w:p w14:paraId="07E0E24B" w14:textId="77777777" w:rsidR="00587FB1" w:rsidRPr="008E4384" w:rsidRDefault="00587FB1" w:rsidP="00587FB1">
            <w:pPr>
              <w:rPr>
                <w:color w:val="000000"/>
                <w:sz w:val="22"/>
                <w:szCs w:val="22"/>
              </w:rPr>
            </w:pPr>
            <w:r w:rsidRPr="008E4384">
              <w:rPr>
                <w:color w:val="000000"/>
                <w:sz w:val="22"/>
                <w:szCs w:val="22"/>
              </w:rPr>
              <w:t>Government</w:t>
            </w:r>
          </w:p>
        </w:tc>
        <w:tc>
          <w:tcPr>
            <w:tcW w:w="1333" w:type="dxa"/>
            <w:tcBorders>
              <w:top w:val="single" w:sz="4" w:space="0" w:color="D9D9D9"/>
              <w:left w:val="nil"/>
              <w:bottom w:val="single" w:sz="4" w:space="0" w:color="D9D9D9"/>
              <w:right w:val="nil"/>
            </w:tcBorders>
            <w:shd w:val="clear" w:color="auto" w:fill="auto"/>
            <w:noWrap/>
            <w:vAlign w:val="bottom"/>
            <w:hideMark/>
          </w:tcPr>
          <w:p w14:paraId="59560CE5" w14:textId="77777777" w:rsidR="00587FB1" w:rsidRPr="008E4384" w:rsidRDefault="00587FB1" w:rsidP="00587FB1">
            <w:pPr>
              <w:jc w:val="right"/>
              <w:rPr>
                <w:color w:val="000000"/>
                <w:sz w:val="22"/>
                <w:szCs w:val="22"/>
              </w:rPr>
            </w:pPr>
            <w:r w:rsidRPr="008E4384">
              <w:rPr>
                <w:color w:val="000000"/>
                <w:sz w:val="22"/>
                <w:szCs w:val="22"/>
              </w:rPr>
              <w:t>14</w:t>
            </w:r>
          </w:p>
        </w:tc>
      </w:tr>
      <w:tr w:rsidR="00587FB1" w:rsidRPr="008E4384" w14:paraId="79BBE46E" w14:textId="77777777" w:rsidTr="00587FB1">
        <w:trPr>
          <w:trHeight w:val="297"/>
        </w:trPr>
        <w:tc>
          <w:tcPr>
            <w:tcW w:w="1927" w:type="dxa"/>
            <w:tcBorders>
              <w:top w:val="single" w:sz="4" w:space="0" w:color="D9D9D9"/>
              <w:left w:val="nil"/>
              <w:bottom w:val="single" w:sz="4" w:space="0" w:color="D9D9D9"/>
              <w:right w:val="nil"/>
            </w:tcBorders>
            <w:shd w:val="clear" w:color="auto" w:fill="auto"/>
            <w:noWrap/>
            <w:vAlign w:val="bottom"/>
            <w:hideMark/>
          </w:tcPr>
          <w:p w14:paraId="1B4E8BF6" w14:textId="77777777" w:rsidR="00587FB1" w:rsidRPr="008E4384" w:rsidRDefault="00587FB1" w:rsidP="00587FB1">
            <w:pPr>
              <w:rPr>
                <w:color w:val="000000"/>
                <w:sz w:val="22"/>
                <w:szCs w:val="22"/>
              </w:rPr>
            </w:pPr>
            <w:r w:rsidRPr="008E4384">
              <w:rPr>
                <w:color w:val="000000"/>
                <w:sz w:val="22"/>
                <w:szCs w:val="22"/>
              </w:rPr>
              <w:t>For-profit business</w:t>
            </w:r>
          </w:p>
        </w:tc>
        <w:tc>
          <w:tcPr>
            <w:tcW w:w="1333" w:type="dxa"/>
            <w:tcBorders>
              <w:top w:val="single" w:sz="4" w:space="0" w:color="D9D9D9"/>
              <w:left w:val="nil"/>
              <w:bottom w:val="single" w:sz="4" w:space="0" w:color="D9D9D9"/>
              <w:right w:val="nil"/>
            </w:tcBorders>
            <w:shd w:val="clear" w:color="auto" w:fill="auto"/>
            <w:noWrap/>
            <w:vAlign w:val="bottom"/>
            <w:hideMark/>
          </w:tcPr>
          <w:p w14:paraId="2F5C0F18" w14:textId="77777777" w:rsidR="00587FB1" w:rsidRPr="008E4384" w:rsidRDefault="00587FB1" w:rsidP="00587FB1">
            <w:pPr>
              <w:jc w:val="right"/>
              <w:rPr>
                <w:color w:val="000000"/>
                <w:sz w:val="22"/>
                <w:szCs w:val="22"/>
              </w:rPr>
            </w:pPr>
            <w:r w:rsidRPr="008E4384">
              <w:rPr>
                <w:color w:val="000000"/>
                <w:sz w:val="22"/>
                <w:szCs w:val="22"/>
              </w:rPr>
              <w:t>10</w:t>
            </w:r>
          </w:p>
        </w:tc>
      </w:tr>
      <w:tr w:rsidR="00587FB1" w:rsidRPr="008E4384" w14:paraId="39979C39" w14:textId="77777777" w:rsidTr="00587FB1">
        <w:trPr>
          <w:trHeight w:val="297"/>
        </w:trPr>
        <w:tc>
          <w:tcPr>
            <w:tcW w:w="1927" w:type="dxa"/>
            <w:tcBorders>
              <w:top w:val="single" w:sz="4" w:space="0" w:color="D9D9D9"/>
              <w:left w:val="nil"/>
              <w:bottom w:val="single" w:sz="4" w:space="0" w:color="D9D9D9"/>
              <w:right w:val="nil"/>
            </w:tcBorders>
            <w:shd w:val="clear" w:color="auto" w:fill="auto"/>
            <w:noWrap/>
            <w:vAlign w:val="bottom"/>
            <w:hideMark/>
          </w:tcPr>
          <w:p w14:paraId="38375290" w14:textId="77777777" w:rsidR="00587FB1" w:rsidRPr="008E4384" w:rsidRDefault="00587FB1" w:rsidP="00587FB1">
            <w:pPr>
              <w:rPr>
                <w:color w:val="000000"/>
                <w:sz w:val="22"/>
                <w:szCs w:val="22"/>
              </w:rPr>
            </w:pPr>
            <w:r w:rsidRPr="008E4384">
              <w:rPr>
                <w:color w:val="000000"/>
                <w:sz w:val="22"/>
                <w:szCs w:val="22"/>
              </w:rPr>
              <w:t>Insurance</w:t>
            </w:r>
          </w:p>
        </w:tc>
        <w:tc>
          <w:tcPr>
            <w:tcW w:w="1333" w:type="dxa"/>
            <w:tcBorders>
              <w:top w:val="single" w:sz="4" w:space="0" w:color="D9D9D9"/>
              <w:left w:val="nil"/>
              <w:bottom w:val="single" w:sz="4" w:space="0" w:color="D9D9D9"/>
              <w:right w:val="nil"/>
            </w:tcBorders>
            <w:shd w:val="clear" w:color="auto" w:fill="auto"/>
            <w:noWrap/>
            <w:vAlign w:val="bottom"/>
            <w:hideMark/>
          </w:tcPr>
          <w:p w14:paraId="3D6728DE" w14:textId="77777777" w:rsidR="00587FB1" w:rsidRPr="008E4384" w:rsidRDefault="00587FB1" w:rsidP="00587FB1">
            <w:pPr>
              <w:jc w:val="right"/>
              <w:rPr>
                <w:color w:val="000000"/>
                <w:sz w:val="22"/>
                <w:szCs w:val="22"/>
              </w:rPr>
            </w:pPr>
            <w:r w:rsidRPr="008E4384">
              <w:rPr>
                <w:color w:val="000000"/>
                <w:sz w:val="22"/>
                <w:szCs w:val="22"/>
              </w:rPr>
              <w:t>6</w:t>
            </w:r>
          </w:p>
        </w:tc>
      </w:tr>
      <w:tr w:rsidR="00587FB1" w:rsidRPr="008E4384" w14:paraId="41653843" w14:textId="77777777" w:rsidTr="00587FB1">
        <w:trPr>
          <w:trHeight w:val="297"/>
        </w:trPr>
        <w:tc>
          <w:tcPr>
            <w:tcW w:w="1927" w:type="dxa"/>
            <w:tcBorders>
              <w:top w:val="single" w:sz="4" w:space="0" w:color="D9D9D9"/>
              <w:left w:val="nil"/>
              <w:bottom w:val="single" w:sz="4" w:space="0" w:color="D9D9D9"/>
              <w:right w:val="nil"/>
            </w:tcBorders>
            <w:shd w:val="clear" w:color="auto" w:fill="auto"/>
            <w:noWrap/>
            <w:vAlign w:val="bottom"/>
            <w:hideMark/>
          </w:tcPr>
          <w:p w14:paraId="08510CCE" w14:textId="77777777" w:rsidR="00587FB1" w:rsidRPr="008E4384" w:rsidRDefault="00587FB1" w:rsidP="00587FB1">
            <w:pPr>
              <w:rPr>
                <w:color w:val="000000"/>
                <w:sz w:val="22"/>
                <w:szCs w:val="22"/>
              </w:rPr>
            </w:pPr>
            <w:r w:rsidRPr="008E4384">
              <w:rPr>
                <w:color w:val="000000"/>
                <w:sz w:val="22"/>
                <w:szCs w:val="22"/>
              </w:rPr>
              <w:t>Academic</w:t>
            </w:r>
          </w:p>
        </w:tc>
        <w:tc>
          <w:tcPr>
            <w:tcW w:w="1333" w:type="dxa"/>
            <w:tcBorders>
              <w:top w:val="single" w:sz="4" w:space="0" w:color="D9D9D9"/>
              <w:left w:val="nil"/>
              <w:bottom w:val="single" w:sz="4" w:space="0" w:color="D9D9D9"/>
              <w:right w:val="nil"/>
            </w:tcBorders>
            <w:shd w:val="clear" w:color="auto" w:fill="auto"/>
            <w:noWrap/>
            <w:vAlign w:val="bottom"/>
            <w:hideMark/>
          </w:tcPr>
          <w:p w14:paraId="2864E300" w14:textId="77777777" w:rsidR="00587FB1" w:rsidRPr="008E4384" w:rsidRDefault="00587FB1" w:rsidP="00587FB1">
            <w:pPr>
              <w:jc w:val="right"/>
              <w:rPr>
                <w:color w:val="000000"/>
                <w:sz w:val="22"/>
                <w:szCs w:val="22"/>
              </w:rPr>
            </w:pPr>
            <w:r w:rsidRPr="008E4384">
              <w:rPr>
                <w:color w:val="000000"/>
                <w:sz w:val="22"/>
                <w:szCs w:val="22"/>
              </w:rPr>
              <w:t>6</w:t>
            </w:r>
          </w:p>
        </w:tc>
      </w:tr>
      <w:tr w:rsidR="00587FB1" w:rsidRPr="008E4384" w14:paraId="3FBE054B" w14:textId="77777777" w:rsidTr="00587FB1">
        <w:trPr>
          <w:trHeight w:val="297"/>
        </w:trPr>
        <w:tc>
          <w:tcPr>
            <w:tcW w:w="1927" w:type="dxa"/>
            <w:tcBorders>
              <w:top w:val="single" w:sz="4" w:space="0" w:color="D9D9D9"/>
              <w:left w:val="nil"/>
              <w:bottom w:val="single" w:sz="4" w:space="0" w:color="D9D9D9"/>
              <w:right w:val="nil"/>
            </w:tcBorders>
            <w:shd w:val="clear" w:color="auto" w:fill="auto"/>
            <w:noWrap/>
            <w:vAlign w:val="bottom"/>
            <w:hideMark/>
          </w:tcPr>
          <w:p w14:paraId="632C4432" w14:textId="77777777" w:rsidR="00587FB1" w:rsidRPr="008E4384" w:rsidRDefault="00587FB1" w:rsidP="00587FB1">
            <w:pPr>
              <w:rPr>
                <w:color w:val="000000"/>
                <w:sz w:val="22"/>
                <w:szCs w:val="22"/>
              </w:rPr>
            </w:pPr>
            <w:r w:rsidRPr="008E4384">
              <w:rPr>
                <w:color w:val="000000"/>
                <w:sz w:val="22"/>
                <w:szCs w:val="22"/>
              </w:rPr>
              <w:t>Lobbyist</w:t>
            </w:r>
          </w:p>
        </w:tc>
        <w:tc>
          <w:tcPr>
            <w:tcW w:w="1333" w:type="dxa"/>
            <w:tcBorders>
              <w:top w:val="single" w:sz="4" w:space="0" w:color="D9D9D9"/>
              <w:left w:val="nil"/>
              <w:bottom w:val="single" w:sz="4" w:space="0" w:color="D9D9D9"/>
              <w:right w:val="nil"/>
            </w:tcBorders>
            <w:shd w:val="clear" w:color="auto" w:fill="auto"/>
            <w:noWrap/>
            <w:vAlign w:val="bottom"/>
            <w:hideMark/>
          </w:tcPr>
          <w:p w14:paraId="3441148C" w14:textId="77777777" w:rsidR="00587FB1" w:rsidRPr="008E4384" w:rsidRDefault="00587FB1" w:rsidP="00587FB1">
            <w:pPr>
              <w:jc w:val="right"/>
              <w:rPr>
                <w:color w:val="000000"/>
                <w:sz w:val="22"/>
                <w:szCs w:val="22"/>
              </w:rPr>
            </w:pPr>
            <w:r w:rsidRPr="008E4384">
              <w:rPr>
                <w:color w:val="000000"/>
                <w:sz w:val="22"/>
                <w:szCs w:val="22"/>
              </w:rPr>
              <w:t>3</w:t>
            </w:r>
          </w:p>
        </w:tc>
      </w:tr>
      <w:tr w:rsidR="00587FB1" w:rsidRPr="008E4384" w14:paraId="01836ABC" w14:textId="77777777" w:rsidTr="00587FB1">
        <w:trPr>
          <w:trHeight w:val="297"/>
        </w:trPr>
        <w:tc>
          <w:tcPr>
            <w:tcW w:w="1927" w:type="dxa"/>
            <w:tcBorders>
              <w:top w:val="single" w:sz="4" w:space="0" w:color="808080"/>
              <w:left w:val="nil"/>
              <w:bottom w:val="single" w:sz="4" w:space="0" w:color="808080"/>
              <w:right w:val="nil"/>
            </w:tcBorders>
            <w:shd w:val="clear" w:color="FFFFFF" w:fill="FFFFFF"/>
            <w:noWrap/>
            <w:vAlign w:val="bottom"/>
            <w:hideMark/>
          </w:tcPr>
          <w:p w14:paraId="77DDDE31" w14:textId="77777777" w:rsidR="00587FB1" w:rsidRPr="008E4384" w:rsidRDefault="00587FB1" w:rsidP="00587FB1">
            <w:pPr>
              <w:rPr>
                <w:b/>
                <w:bCs/>
                <w:color w:val="000000"/>
                <w:sz w:val="22"/>
                <w:szCs w:val="22"/>
              </w:rPr>
            </w:pPr>
            <w:r w:rsidRPr="008E4384">
              <w:rPr>
                <w:b/>
                <w:bCs/>
                <w:color w:val="000000"/>
                <w:sz w:val="22"/>
                <w:szCs w:val="22"/>
              </w:rPr>
              <w:t>Total</w:t>
            </w:r>
          </w:p>
        </w:tc>
        <w:tc>
          <w:tcPr>
            <w:tcW w:w="1333" w:type="dxa"/>
            <w:tcBorders>
              <w:top w:val="single" w:sz="4" w:space="0" w:color="808080"/>
              <w:left w:val="nil"/>
              <w:bottom w:val="single" w:sz="4" w:space="0" w:color="808080"/>
              <w:right w:val="nil"/>
            </w:tcBorders>
            <w:shd w:val="clear" w:color="FFFFFF" w:fill="FFFFFF"/>
            <w:noWrap/>
            <w:vAlign w:val="bottom"/>
            <w:hideMark/>
          </w:tcPr>
          <w:p w14:paraId="15A1F6BD" w14:textId="77777777" w:rsidR="00587FB1" w:rsidRPr="008E4384" w:rsidRDefault="00587FB1" w:rsidP="00587FB1">
            <w:pPr>
              <w:jc w:val="right"/>
              <w:rPr>
                <w:b/>
                <w:bCs/>
                <w:color w:val="000000"/>
                <w:sz w:val="22"/>
                <w:szCs w:val="22"/>
              </w:rPr>
            </w:pPr>
            <w:r w:rsidRPr="008E4384">
              <w:rPr>
                <w:b/>
                <w:bCs/>
                <w:color w:val="000000"/>
                <w:sz w:val="22"/>
                <w:szCs w:val="22"/>
              </w:rPr>
              <w:t>467</w:t>
            </w:r>
          </w:p>
        </w:tc>
      </w:tr>
    </w:tbl>
    <w:p w14:paraId="24F3FBDA" w14:textId="7B2D0A45" w:rsidR="00A9038F" w:rsidRDefault="00A9038F" w:rsidP="00450032"/>
    <w:tbl>
      <w:tblPr>
        <w:tblpPr w:leftFromText="180" w:rightFromText="180" w:vertAnchor="text" w:horzAnchor="margin" w:tblpY="8129"/>
        <w:tblW w:w="3086" w:type="dxa"/>
        <w:tblLook w:val="04A0" w:firstRow="1" w:lastRow="0" w:firstColumn="1" w:lastColumn="0" w:noHBand="0" w:noVBand="1"/>
      </w:tblPr>
      <w:tblGrid>
        <w:gridCol w:w="1976"/>
        <w:gridCol w:w="1110"/>
      </w:tblGrid>
      <w:tr w:rsidR="008E4384" w:rsidRPr="008E4384" w14:paraId="507BAEEC" w14:textId="77777777" w:rsidTr="00587FB1">
        <w:trPr>
          <w:trHeight w:val="288"/>
        </w:trPr>
        <w:tc>
          <w:tcPr>
            <w:tcW w:w="1976" w:type="dxa"/>
            <w:tcBorders>
              <w:top w:val="single" w:sz="4" w:space="0" w:color="D9D9D9"/>
              <w:left w:val="nil"/>
              <w:bottom w:val="single" w:sz="4" w:space="0" w:color="D9D9D9"/>
              <w:right w:val="nil"/>
            </w:tcBorders>
            <w:shd w:val="clear" w:color="auto" w:fill="auto"/>
            <w:noWrap/>
            <w:vAlign w:val="bottom"/>
            <w:hideMark/>
          </w:tcPr>
          <w:p w14:paraId="09B55894" w14:textId="77777777" w:rsidR="008E4384" w:rsidRPr="008E4384" w:rsidRDefault="008E4384" w:rsidP="00587FB1">
            <w:pPr>
              <w:rPr>
                <w:color w:val="000000"/>
                <w:sz w:val="22"/>
                <w:szCs w:val="22"/>
              </w:rPr>
            </w:pPr>
            <w:r w:rsidRPr="008E4384">
              <w:rPr>
                <w:color w:val="000000"/>
                <w:sz w:val="22"/>
                <w:szCs w:val="22"/>
              </w:rPr>
              <w:lastRenderedPageBreak/>
              <w:t>For-profit business</w:t>
            </w:r>
          </w:p>
        </w:tc>
        <w:tc>
          <w:tcPr>
            <w:tcW w:w="1110" w:type="dxa"/>
            <w:tcBorders>
              <w:top w:val="single" w:sz="4" w:space="0" w:color="D9D9D9"/>
              <w:left w:val="nil"/>
              <w:bottom w:val="single" w:sz="4" w:space="0" w:color="D9D9D9"/>
              <w:right w:val="nil"/>
            </w:tcBorders>
            <w:shd w:val="clear" w:color="auto" w:fill="auto"/>
            <w:noWrap/>
            <w:vAlign w:val="bottom"/>
            <w:hideMark/>
          </w:tcPr>
          <w:p w14:paraId="0D13ED1A" w14:textId="77777777" w:rsidR="008E4384" w:rsidRPr="008E4384" w:rsidRDefault="008E4384" w:rsidP="00587FB1">
            <w:pPr>
              <w:jc w:val="right"/>
              <w:rPr>
                <w:color w:val="000000"/>
                <w:sz w:val="22"/>
                <w:szCs w:val="22"/>
              </w:rPr>
            </w:pPr>
            <w:r w:rsidRPr="008E4384">
              <w:rPr>
                <w:color w:val="000000"/>
                <w:sz w:val="22"/>
                <w:szCs w:val="22"/>
              </w:rPr>
              <w:t>5,179</w:t>
            </w:r>
          </w:p>
        </w:tc>
      </w:tr>
      <w:tr w:rsidR="008E4384" w:rsidRPr="008E4384" w14:paraId="3D2F8D19" w14:textId="77777777" w:rsidTr="00587FB1">
        <w:trPr>
          <w:trHeight w:val="288"/>
        </w:trPr>
        <w:tc>
          <w:tcPr>
            <w:tcW w:w="1976" w:type="dxa"/>
            <w:tcBorders>
              <w:top w:val="single" w:sz="4" w:space="0" w:color="D9D9D9"/>
              <w:left w:val="nil"/>
              <w:bottom w:val="single" w:sz="4" w:space="0" w:color="D9D9D9"/>
              <w:right w:val="nil"/>
            </w:tcBorders>
            <w:shd w:val="clear" w:color="auto" w:fill="auto"/>
            <w:noWrap/>
            <w:vAlign w:val="bottom"/>
            <w:hideMark/>
          </w:tcPr>
          <w:p w14:paraId="33F28195" w14:textId="77777777" w:rsidR="008E4384" w:rsidRPr="008E4384" w:rsidRDefault="008E4384" w:rsidP="00587FB1">
            <w:pPr>
              <w:rPr>
                <w:color w:val="000000"/>
                <w:sz w:val="22"/>
                <w:szCs w:val="22"/>
              </w:rPr>
            </w:pPr>
            <w:r w:rsidRPr="008E4384">
              <w:rPr>
                <w:color w:val="000000"/>
                <w:sz w:val="22"/>
                <w:szCs w:val="22"/>
              </w:rPr>
              <w:t>Individual/Uncoded</w:t>
            </w:r>
          </w:p>
        </w:tc>
        <w:tc>
          <w:tcPr>
            <w:tcW w:w="1110" w:type="dxa"/>
            <w:tcBorders>
              <w:top w:val="single" w:sz="4" w:space="0" w:color="D9D9D9"/>
              <w:left w:val="nil"/>
              <w:bottom w:val="single" w:sz="4" w:space="0" w:color="D9D9D9"/>
              <w:right w:val="nil"/>
            </w:tcBorders>
            <w:shd w:val="clear" w:color="auto" w:fill="auto"/>
            <w:noWrap/>
            <w:vAlign w:val="bottom"/>
            <w:hideMark/>
          </w:tcPr>
          <w:p w14:paraId="7961EF8A" w14:textId="77777777" w:rsidR="008E4384" w:rsidRPr="008E4384" w:rsidRDefault="008E4384" w:rsidP="00587FB1">
            <w:pPr>
              <w:jc w:val="right"/>
              <w:rPr>
                <w:color w:val="000000"/>
                <w:sz w:val="22"/>
                <w:szCs w:val="22"/>
              </w:rPr>
            </w:pPr>
            <w:r w:rsidRPr="008E4384">
              <w:rPr>
                <w:color w:val="000000"/>
                <w:sz w:val="22"/>
                <w:szCs w:val="22"/>
              </w:rPr>
              <w:t>4,967</w:t>
            </w:r>
          </w:p>
        </w:tc>
      </w:tr>
      <w:tr w:rsidR="008E4384" w:rsidRPr="008E4384" w14:paraId="4CD5221D" w14:textId="77777777" w:rsidTr="00587FB1">
        <w:trPr>
          <w:trHeight w:val="288"/>
        </w:trPr>
        <w:tc>
          <w:tcPr>
            <w:tcW w:w="1976" w:type="dxa"/>
            <w:tcBorders>
              <w:top w:val="single" w:sz="4" w:space="0" w:color="D9D9D9"/>
              <w:left w:val="nil"/>
              <w:bottom w:val="single" w:sz="4" w:space="0" w:color="D9D9D9"/>
              <w:right w:val="nil"/>
            </w:tcBorders>
            <w:shd w:val="clear" w:color="auto" w:fill="auto"/>
            <w:noWrap/>
            <w:vAlign w:val="bottom"/>
            <w:hideMark/>
          </w:tcPr>
          <w:p w14:paraId="6444DD9C" w14:textId="77777777" w:rsidR="008E4384" w:rsidRPr="008E4384" w:rsidRDefault="008E4384" w:rsidP="00587FB1">
            <w:pPr>
              <w:rPr>
                <w:color w:val="000000"/>
                <w:sz w:val="22"/>
                <w:szCs w:val="22"/>
              </w:rPr>
            </w:pPr>
            <w:r w:rsidRPr="008E4384">
              <w:rPr>
                <w:color w:val="000000"/>
                <w:sz w:val="22"/>
                <w:szCs w:val="22"/>
              </w:rPr>
              <w:t>Legal</w:t>
            </w:r>
          </w:p>
        </w:tc>
        <w:tc>
          <w:tcPr>
            <w:tcW w:w="1110" w:type="dxa"/>
            <w:tcBorders>
              <w:top w:val="single" w:sz="4" w:space="0" w:color="D9D9D9"/>
              <w:left w:val="nil"/>
              <w:bottom w:val="single" w:sz="4" w:space="0" w:color="D9D9D9"/>
              <w:right w:val="nil"/>
            </w:tcBorders>
            <w:shd w:val="clear" w:color="auto" w:fill="auto"/>
            <w:noWrap/>
            <w:vAlign w:val="bottom"/>
            <w:hideMark/>
          </w:tcPr>
          <w:p w14:paraId="40F6883B" w14:textId="77777777" w:rsidR="008E4384" w:rsidRPr="008E4384" w:rsidRDefault="008E4384" w:rsidP="00587FB1">
            <w:pPr>
              <w:jc w:val="right"/>
              <w:rPr>
                <w:color w:val="000000"/>
                <w:sz w:val="22"/>
                <w:szCs w:val="22"/>
              </w:rPr>
            </w:pPr>
            <w:r w:rsidRPr="008E4384">
              <w:rPr>
                <w:color w:val="000000"/>
                <w:sz w:val="22"/>
                <w:szCs w:val="22"/>
              </w:rPr>
              <w:t>3,325</w:t>
            </w:r>
          </w:p>
        </w:tc>
      </w:tr>
      <w:tr w:rsidR="008E4384" w:rsidRPr="008E4384" w14:paraId="73F461E4" w14:textId="77777777" w:rsidTr="00587FB1">
        <w:trPr>
          <w:trHeight w:val="288"/>
        </w:trPr>
        <w:tc>
          <w:tcPr>
            <w:tcW w:w="1976" w:type="dxa"/>
            <w:tcBorders>
              <w:top w:val="single" w:sz="4" w:space="0" w:color="D9D9D9"/>
              <w:left w:val="nil"/>
              <w:bottom w:val="single" w:sz="4" w:space="0" w:color="D9D9D9"/>
              <w:right w:val="nil"/>
            </w:tcBorders>
            <w:shd w:val="clear" w:color="auto" w:fill="auto"/>
            <w:noWrap/>
            <w:vAlign w:val="bottom"/>
            <w:hideMark/>
          </w:tcPr>
          <w:p w14:paraId="278A94D8" w14:textId="77777777" w:rsidR="008E4384" w:rsidRPr="008E4384" w:rsidRDefault="008E4384" w:rsidP="00587FB1">
            <w:pPr>
              <w:rPr>
                <w:color w:val="000000"/>
                <w:sz w:val="22"/>
                <w:szCs w:val="22"/>
              </w:rPr>
            </w:pPr>
            <w:r w:rsidRPr="008E4384">
              <w:rPr>
                <w:color w:val="000000"/>
                <w:sz w:val="22"/>
                <w:szCs w:val="22"/>
              </w:rPr>
              <w:t xml:space="preserve">Government </w:t>
            </w:r>
          </w:p>
        </w:tc>
        <w:tc>
          <w:tcPr>
            <w:tcW w:w="1110" w:type="dxa"/>
            <w:tcBorders>
              <w:top w:val="single" w:sz="4" w:space="0" w:color="D9D9D9"/>
              <w:left w:val="nil"/>
              <w:bottom w:val="single" w:sz="4" w:space="0" w:color="D9D9D9"/>
              <w:right w:val="nil"/>
            </w:tcBorders>
            <w:shd w:val="clear" w:color="auto" w:fill="auto"/>
            <w:noWrap/>
            <w:vAlign w:val="bottom"/>
            <w:hideMark/>
          </w:tcPr>
          <w:p w14:paraId="0A7CE1F0" w14:textId="77777777" w:rsidR="008E4384" w:rsidRPr="008E4384" w:rsidRDefault="008E4384" w:rsidP="00587FB1">
            <w:pPr>
              <w:jc w:val="right"/>
              <w:rPr>
                <w:color w:val="000000"/>
                <w:sz w:val="22"/>
                <w:szCs w:val="22"/>
              </w:rPr>
            </w:pPr>
            <w:r w:rsidRPr="008E4384">
              <w:rPr>
                <w:color w:val="000000"/>
                <w:sz w:val="22"/>
                <w:szCs w:val="22"/>
              </w:rPr>
              <w:t>1,179</w:t>
            </w:r>
          </w:p>
        </w:tc>
      </w:tr>
      <w:tr w:rsidR="008E4384" w:rsidRPr="008E4384" w14:paraId="761CD22D" w14:textId="77777777" w:rsidTr="00587FB1">
        <w:trPr>
          <w:trHeight w:val="288"/>
        </w:trPr>
        <w:tc>
          <w:tcPr>
            <w:tcW w:w="1976" w:type="dxa"/>
            <w:tcBorders>
              <w:top w:val="single" w:sz="4" w:space="0" w:color="D9D9D9"/>
              <w:left w:val="nil"/>
              <w:bottom w:val="single" w:sz="4" w:space="0" w:color="D9D9D9"/>
              <w:right w:val="nil"/>
            </w:tcBorders>
            <w:shd w:val="clear" w:color="auto" w:fill="auto"/>
            <w:noWrap/>
            <w:vAlign w:val="bottom"/>
            <w:hideMark/>
          </w:tcPr>
          <w:p w14:paraId="015C6064" w14:textId="77777777" w:rsidR="008E4384" w:rsidRPr="008E4384" w:rsidRDefault="008E4384" w:rsidP="00587FB1">
            <w:pPr>
              <w:rPr>
                <w:color w:val="000000"/>
                <w:sz w:val="22"/>
                <w:szCs w:val="22"/>
              </w:rPr>
            </w:pPr>
            <w:r w:rsidRPr="008E4384">
              <w:rPr>
                <w:color w:val="000000"/>
                <w:sz w:val="22"/>
                <w:szCs w:val="22"/>
              </w:rPr>
              <w:t>Media</w:t>
            </w:r>
          </w:p>
        </w:tc>
        <w:tc>
          <w:tcPr>
            <w:tcW w:w="1110" w:type="dxa"/>
            <w:tcBorders>
              <w:top w:val="single" w:sz="4" w:space="0" w:color="D9D9D9"/>
              <w:left w:val="nil"/>
              <w:bottom w:val="single" w:sz="4" w:space="0" w:color="D9D9D9"/>
              <w:right w:val="nil"/>
            </w:tcBorders>
            <w:shd w:val="clear" w:color="auto" w:fill="auto"/>
            <w:noWrap/>
            <w:vAlign w:val="bottom"/>
            <w:hideMark/>
          </w:tcPr>
          <w:p w14:paraId="4FEA99D8" w14:textId="77777777" w:rsidR="008E4384" w:rsidRPr="008E4384" w:rsidRDefault="008E4384" w:rsidP="00587FB1">
            <w:pPr>
              <w:jc w:val="right"/>
              <w:rPr>
                <w:color w:val="000000"/>
                <w:sz w:val="22"/>
                <w:szCs w:val="22"/>
              </w:rPr>
            </w:pPr>
            <w:r w:rsidRPr="008E4384">
              <w:rPr>
                <w:color w:val="000000"/>
                <w:sz w:val="22"/>
                <w:szCs w:val="22"/>
              </w:rPr>
              <w:t>517</w:t>
            </w:r>
          </w:p>
        </w:tc>
      </w:tr>
      <w:tr w:rsidR="008E4384" w:rsidRPr="008E4384" w14:paraId="4FB59C98" w14:textId="77777777" w:rsidTr="00587FB1">
        <w:trPr>
          <w:trHeight w:val="288"/>
        </w:trPr>
        <w:tc>
          <w:tcPr>
            <w:tcW w:w="1976" w:type="dxa"/>
            <w:tcBorders>
              <w:top w:val="single" w:sz="4" w:space="0" w:color="D9D9D9"/>
              <w:left w:val="nil"/>
              <w:bottom w:val="single" w:sz="4" w:space="0" w:color="D9D9D9"/>
              <w:right w:val="nil"/>
            </w:tcBorders>
            <w:shd w:val="clear" w:color="auto" w:fill="auto"/>
            <w:noWrap/>
            <w:vAlign w:val="bottom"/>
            <w:hideMark/>
          </w:tcPr>
          <w:p w14:paraId="4AB8046E" w14:textId="77777777" w:rsidR="008E4384" w:rsidRPr="008E4384" w:rsidRDefault="008E4384" w:rsidP="00587FB1">
            <w:pPr>
              <w:rPr>
                <w:color w:val="000000"/>
                <w:sz w:val="22"/>
                <w:szCs w:val="22"/>
              </w:rPr>
            </w:pPr>
            <w:r w:rsidRPr="008E4384">
              <w:rPr>
                <w:color w:val="000000"/>
                <w:sz w:val="22"/>
                <w:szCs w:val="22"/>
              </w:rPr>
              <w:t>Nonprofit</w:t>
            </w:r>
          </w:p>
        </w:tc>
        <w:tc>
          <w:tcPr>
            <w:tcW w:w="1110" w:type="dxa"/>
            <w:tcBorders>
              <w:top w:val="single" w:sz="4" w:space="0" w:color="D9D9D9"/>
              <w:left w:val="nil"/>
              <w:bottom w:val="single" w:sz="4" w:space="0" w:color="D9D9D9"/>
              <w:right w:val="nil"/>
            </w:tcBorders>
            <w:shd w:val="clear" w:color="auto" w:fill="auto"/>
            <w:noWrap/>
            <w:vAlign w:val="bottom"/>
            <w:hideMark/>
          </w:tcPr>
          <w:p w14:paraId="108EC203" w14:textId="77777777" w:rsidR="008E4384" w:rsidRPr="008E4384" w:rsidRDefault="008E4384" w:rsidP="00587FB1">
            <w:pPr>
              <w:jc w:val="right"/>
              <w:rPr>
                <w:color w:val="000000"/>
                <w:sz w:val="22"/>
                <w:szCs w:val="22"/>
              </w:rPr>
            </w:pPr>
            <w:r w:rsidRPr="008E4384">
              <w:rPr>
                <w:color w:val="000000"/>
                <w:sz w:val="22"/>
                <w:szCs w:val="22"/>
              </w:rPr>
              <w:t>347</w:t>
            </w:r>
          </w:p>
        </w:tc>
      </w:tr>
      <w:tr w:rsidR="008E4384" w:rsidRPr="008E4384" w14:paraId="3EE10BB0" w14:textId="77777777" w:rsidTr="00587FB1">
        <w:trPr>
          <w:trHeight w:val="288"/>
        </w:trPr>
        <w:tc>
          <w:tcPr>
            <w:tcW w:w="1976" w:type="dxa"/>
            <w:tcBorders>
              <w:top w:val="single" w:sz="4" w:space="0" w:color="D9D9D9"/>
              <w:left w:val="nil"/>
              <w:bottom w:val="single" w:sz="4" w:space="0" w:color="D9D9D9"/>
              <w:right w:val="nil"/>
            </w:tcBorders>
            <w:shd w:val="clear" w:color="auto" w:fill="auto"/>
            <w:noWrap/>
            <w:vAlign w:val="bottom"/>
            <w:hideMark/>
          </w:tcPr>
          <w:p w14:paraId="05455335" w14:textId="77777777" w:rsidR="008E4384" w:rsidRPr="008E4384" w:rsidRDefault="008E4384" w:rsidP="00587FB1">
            <w:pPr>
              <w:rPr>
                <w:color w:val="000000"/>
                <w:sz w:val="22"/>
                <w:szCs w:val="22"/>
              </w:rPr>
            </w:pPr>
            <w:r w:rsidRPr="008E4384">
              <w:rPr>
                <w:color w:val="000000"/>
                <w:sz w:val="22"/>
                <w:szCs w:val="22"/>
              </w:rPr>
              <w:t>Insurance</w:t>
            </w:r>
          </w:p>
        </w:tc>
        <w:tc>
          <w:tcPr>
            <w:tcW w:w="1110" w:type="dxa"/>
            <w:tcBorders>
              <w:top w:val="single" w:sz="4" w:space="0" w:color="D9D9D9"/>
              <w:left w:val="nil"/>
              <w:bottom w:val="single" w:sz="4" w:space="0" w:color="D9D9D9"/>
              <w:right w:val="nil"/>
            </w:tcBorders>
            <w:shd w:val="clear" w:color="auto" w:fill="auto"/>
            <w:noWrap/>
            <w:vAlign w:val="bottom"/>
            <w:hideMark/>
          </w:tcPr>
          <w:p w14:paraId="4F95BF84" w14:textId="77777777" w:rsidR="008E4384" w:rsidRPr="008E4384" w:rsidRDefault="008E4384" w:rsidP="00587FB1">
            <w:pPr>
              <w:jc w:val="right"/>
              <w:rPr>
                <w:color w:val="000000"/>
                <w:sz w:val="22"/>
                <w:szCs w:val="22"/>
              </w:rPr>
            </w:pPr>
            <w:r w:rsidRPr="008E4384">
              <w:rPr>
                <w:color w:val="000000"/>
                <w:sz w:val="22"/>
                <w:szCs w:val="22"/>
              </w:rPr>
              <w:t>331</w:t>
            </w:r>
          </w:p>
        </w:tc>
      </w:tr>
      <w:tr w:rsidR="008E4384" w:rsidRPr="008E4384" w14:paraId="030EBE39" w14:textId="77777777" w:rsidTr="00587FB1">
        <w:trPr>
          <w:trHeight w:val="288"/>
        </w:trPr>
        <w:tc>
          <w:tcPr>
            <w:tcW w:w="1976" w:type="dxa"/>
            <w:tcBorders>
              <w:top w:val="single" w:sz="4" w:space="0" w:color="D9D9D9"/>
              <w:left w:val="nil"/>
              <w:bottom w:val="single" w:sz="4" w:space="0" w:color="D9D9D9"/>
              <w:right w:val="nil"/>
            </w:tcBorders>
            <w:shd w:val="clear" w:color="auto" w:fill="auto"/>
            <w:noWrap/>
            <w:vAlign w:val="bottom"/>
            <w:hideMark/>
          </w:tcPr>
          <w:p w14:paraId="5A8A2585" w14:textId="77777777" w:rsidR="008E4384" w:rsidRPr="008E4384" w:rsidRDefault="008E4384" w:rsidP="00587FB1">
            <w:pPr>
              <w:rPr>
                <w:color w:val="000000"/>
                <w:sz w:val="22"/>
                <w:szCs w:val="22"/>
              </w:rPr>
            </w:pPr>
            <w:r w:rsidRPr="008E4384">
              <w:rPr>
                <w:color w:val="000000"/>
                <w:sz w:val="22"/>
                <w:szCs w:val="22"/>
              </w:rPr>
              <w:t xml:space="preserve">Academic </w:t>
            </w:r>
          </w:p>
        </w:tc>
        <w:tc>
          <w:tcPr>
            <w:tcW w:w="1110" w:type="dxa"/>
            <w:tcBorders>
              <w:top w:val="single" w:sz="4" w:space="0" w:color="D9D9D9"/>
              <w:left w:val="nil"/>
              <w:bottom w:val="single" w:sz="4" w:space="0" w:color="D9D9D9"/>
              <w:right w:val="nil"/>
            </w:tcBorders>
            <w:shd w:val="clear" w:color="auto" w:fill="auto"/>
            <w:noWrap/>
            <w:vAlign w:val="bottom"/>
            <w:hideMark/>
          </w:tcPr>
          <w:p w14:paraId="00CE3D35" w14:textId="77777777" w:rsidR="008E4384" w:rsidRPr="008E4384" w:rsidRDefault="008E4384" w:rsidP="00587FB1">
            <w:pPr>
              <w:jc w:val="right"/>
              <w:rPr>
                <w:color w:val="000000"/>
                <w:sz w:val="22"/>
                <w:szCs w:val="22"/>
              </w:rPr>
            </w:pPr>
            <w:r w:rsidRPr="008E4384">
              <w:rPr>
                <w:color w:val="000000"/>
                <w:sz w:val="22"/>
                <w:szCs w:val="22"/>
              </w:rPr>
              <w:t>91</w:t>
            </w:r>
          </w:p>
        </w:tc>
      </w:tr>
      <w:tr w:rsidR="008E4384" w:rsidRPr="008E4384" w14:paraId="2256A377" w14:textId="77777777" w:rsidTr="00587FB1">
        <w:trPr>
          <w:trHeight w:val="288"/>
        </w:trPr>
        <w:tc>
          <w:tcPr>
            <w:tcW w:w="1976" w:type="dxa"/>
            <w:tcBorders>
              <w:top w:val="single" w:sz="4" w:space="0" w:color="D9D9D9"/>
              <w:left w:val="nil"/>
              <w:bottom w:val="single" w:sz="4" w:space="0" w:color="D9D9D9"/>
              <w:right w:val="nil"/>
            </w:tcBorders>
            <w:shd w:val="clear" w:color="auto" w:fill="auto"/>
            <w:noWrap/>
            <w:vAlign w:val="bottom"/>
            <w:hideMark/>
          </w:tcPr>
          <w:p w14:paraId="67A44B60" w14:textId="77777777" w:rsidR="008E4384" w:rsidRPr="008E4384" w:rsidRDefault="008E4384" w:rsidP="00587FB1">
            <w:pPr>
              <w:rPr>
                <w:color w:val="000000"/>
                <w:sz w:val="22"/>
                <w:szCs w:val="22"/>
              </w:rPr>
            </w:pPr>
            <w:r w:rsidRPr="008E4384">
              <w:rPr>
                <w:color w:val="000000"/>
                <w:sz w:val="22"/>
                <w:szCs w:val="22"/>
              </w:rPr>
              <w:t>Lobbyists</w:t>
            </w:r>
          </w:p>
        </w:tc>
        <w:tc>
          <w:tcPr>
            <w:tcW w:w="1110" w:type="dxa"/>
            <w:tcBorders>
              <w:top w:val="single" w:sz="4" w:space="0" w:color="D9D9D9"/>
              <w:left w:val="nil"/>
              <w:bottom w:val="single" w:sz="4" w:space="0" w:color="D9D9D9"/>
              <w:right w:val="nil"/>
            </w:tcBorders>
            <w:shd w:val="clear" w:color="auto" w:fill="auto"/>
            <w:noWrap/>
            <w:vAlign w:val="bottom"/>
            <w:hideMark/>
          </w:tcPr>
          <w:p w14:paraId="24EC8FD5" w14:textId="77777777" w:rsidR="008E4384" w:rsidRPr="008E4384" w:rsidRDefault="008E4384" w:rsidP="00587FB1">
            <w:pPr>
              <w:jc w:val="right"/>
              <w:rPr>
                <w:color w:val="000000"/>
                <w:sz w:val="22"/>
                <w:szCs w:val="22"/>
              </w:rPr>
            </w:pPr>
            <w:r w:rsidRPr="008E4384">
              <w:rPr>
                <w:color w:val="000000"/>
                <w:sz w:val="22"/>
                <w:szCs w:val="22"/>
              </w:rPr>
              <w:t>23</w:t>
            </w:r>
          </w:p>
        </w:tc>
      </w:tr>
      <w:tr w:rsidR="008E4384" w:rsidRPr="008E4384" w14:paraId="265FCC88" w14:textId="77777777" w:rsidTr="00587FB1">
        <w:trPr>
          <w:trHeight w:val="288"/>
        </w:trPr>
        <w:tc>
          <w:tcPr>
            <w:tcW w:w="1976" w:type="dxa"/>
            <w:tcBorders>
              <w:top w:val="single" w:sz="4" w:space="0" w:color="D9D9D9"/>
              <w:left w:val="nil"/>
              <w:bottom w:val="single" w:sz="4" w:space="0" w:color="D9D9D9"/>
              <w:right w:val="nil"/>
            </w:tcBorders>
            <w:shd w:val="clear" w:color="auto" w:fill="auto"/>
            <w:noWrap/>
            <w:vAlign w:val="bottom"/>
            <w:hideMark/>
          </w:tcPr>
          <w:p w14:paraId="70C9D1D6" w14:textId="77777777" w:rsidR="008E4384" w:rsidRPr="008E4384" w:rsidRDefault="008E4384" w:rsidP="00587FB1">
            <w:pPr>
              <w:rPr>
                <w:color w:val="000000"/>
                <w:sz w:val="22"/>
                <w:szCs w:val="22"/>
              </w:rPr>
            </w:pPr>
            <w:r w:rsidRPr="008E4384">
              <w:rPr>
                <w:color w:val="000000"/>
                <w:sz w:val="22"/>
                <w:szCs w:val="22"/>
              </w:rPr>
              <w:t xml:space="preserve">Union </w:t>
            </w:r>
          </w:p>
        </w:tc>
        <w:tc>
          <w:tcPr>
            <w:tcW w:w="1110" w:type="dxa"/>
            <w:tcBorders>
              <w:top w:val="single" w:sz="4" w:space="0" w:color="D9D9D9"/>
              <w:left w:val="nil"/>
              <w:bottom w:val="single" w:sz="4" w:space="0" w:color="D9D9D9"/>
              <w:right w:val="nil"/>
            </w:tcBorders>
            <w:shd w:val="clear" w:color="auto" w:fill="auto"/>
            <w:noWrap/>
            <w:vAlign w:val="bottom"/>
            <w:hideMark/>
          </w:tcPr>
          <w:p w14:paraId="0983F522" w14:textId="77777777" w:rsidR="008E4384" w:rsidRPr="008E4384" w:rsidRDefault="008E4384" w:rsidP="00587FB1">
            <w:pPr>
              <w:jc w:val="right"/>
              <w:rPr>
                <w:color w:val="000000"/>
                <w:sz w:val="22"/>
                <w:szCs w:val="22"/>
              </w:rPr>
            </w:pPr>
            <w:r w:rsidRPr="008E4384">
              <w:rPr>
                <w:color w:val="000000"/>
                <w:sz w:val="22"/>
                <w:szCs w:val="22"/>
              </w:rPr>
              <w:t>10</w:t>
            </w:r>
          </w:p>
        </w:tc>
      </w:tr>
      <w:tr w:rsidR="008E4384" w:rsidRPr="008E4384" w14:paraId="239C9AEF" w14:textId="77777777" w:rsidTr="00587FB1">
        <w:trPr>
          <w:trHeight w:val="288"/>
        </w:trPr>
        <w:tc>
          <w:tcPr>
            <w:tcW w:w="1976" w:type="dxa"/>
            <w:tcBorders>
              <w:top w:val="single" w:sz="4" w:space="0" w:color="808080"/>
              <w:left w:val="nil"/>
              <w:bottom w:val="single" w:sz="4" w:space="0" w:color="808080"/>
              <w:right w:val="nil"/>
            </w:tcBorders>
            <w:shd w:val="clear" w:color="FFFFFF" w:fill="FFFFFF"/>
            <w:noWrap/>
            <w:vAlign w:val="bottom"/>
            <w:hideMark/>
          </w:tcPr>
          <w:p w14:paraId="44363334" w14:textId="77777777" w:rsidR="008E4384" w:rsidRPr="008E4384" w:rsidRDefault="008E4384" w:rsidP="00587FB1">
            <w:pPr>
              <w:rPr>
                <w:b/>
                <w:bCs/>
                <w:color w:val="000000"/>
                <w:sz w:val="22"/>
                <w:szCs w:val="22"/>
              </w:rPr>
            </w:pPr>
            <w:r w:rsidRPr="008E4384">
              <w:rPr>
                <w:b/>
                <w:bCs/>
                <w:color w:val="000000"/>
                <w:sz w:val="22"/>
                <w:szCs w:val="22"/>
              </w:rPr>
              <w:t>Total</w:t>
            </w:r>
          </w:p>
        </w:tc>
        <w:tc>
          <w:tcPr>
            <w:tcW w:w="1110" w:type="dxa"/>
            <w:tcBorders>
              <w:top w:val="single" w:sz="4" w:space="0" w:color="808080"/>
              <w:left w:val="nil"/>
              <w:bottom w:val="single" w:sz="4" w:space="0" w:color="808080"/>
              <w:right w:val="nil"/>
            </w:tcBorders>
            <w:shd w:val="clear" w:color="FFFFFF" w:fill="FFFFFF"/>
            <w:noWrap/>
            <w:vAlign w:val="bottom"/>
            <w:hideMark/>
          </w:tcPr>
          <w:p w14:paraId="6E573BC3" w14:textId="77777777" w:rsidR="008E4384" w:rsidRPr="008E4384" w:rsidRDefault="008E4384" w:rsidP="00587FB1">
            <w:pPr>
              <w:jc w:val="right"/>
              <w:rPr>
                <w:b/>
                <w:bCs/>
                <w:color w:val="000000"/>
                <w:sz w:val="22"/>
                <w:szCs w:val="22"/>
              </w:rPr>
            </w:pPr>
            <w:r w:rsidRPr="008E4384">
              <w:rPr>
                <w:b/>
                <w:bCs/>
                <w:color w:val="000000"/>
                <w:sz w:val="22"/>
                <w:szCs w:val="22"/>
              </w:rPr>
              <w:t>15,969</w:t>
            </w:r>
          </w:p>
        </w:tc>
      </w:tr>
    </w:tbl>
    <w:p w14:paraId="2E2AD64E" w14:textId="0EC65A8A" w:rsidR="00A9038F" w:rsidRDefault="00A9038F" w:rsidP="00450032"/>
    <w:p w14:paraId="28F739A5" w14:textId="2F6B4855" w:rsidR="008E4384" w:rsidRDefault="008E4384" w:rsidP="00450032"/>
    <w:p w14:paraId="41C2B31B" w14:textId="655DDE8F" w:rsidR="008E4384" w:rsidRDefault="008E4384" w:rsidP="00450032"/>
    <w:p w14:paraId="5D30064A" w14:textId="166E25C5" w:rsidR="008E4384" w:rsidRDefault="008E4384" w:rsidP="00450032"/>
    <w:p w14:paraId="1AABA4BA" w14:textId="6945FDD5" w:rsidR="008E4384" w:rsidRPr="008E4384" w:rsidRDefault="008E4384" w:rsidP="00450032">
      <w:pPr>
        <w:rPr>
          <w:b/>
          <w:bCs/>
        </w:rPr>
      </w:pPr>
      <w:r>
        <w:rPr>
          <w:b/>
          <w:bCs/>
        </w:rPr>
        <w:t>Total</w:t>
      </w:r>
    </w:p>
    <w:p w14:paraId="02BA4647" w14:textId="425374B2" w:rsidR="00344F27" w:rsidRDefault="008E4384" w:rsidP="00450032">
      <w:r>
        <w:rPr>
          <w:noProof/>
        </w:rPr>
        <w:drawing>
          <wp:inline distT="0" distB="0" distL="0" distR="0" wp14:anchorId="7E355197" wp14:editId="6CD3ACA2">
            <wp:extent cx="6639951" cy="3879850"/>
            <wp:effectExtent l="0" t="0" r="15240" b="6350"/>
            <wp:docPr id="12" name="Chart 12">
              <a:extLst xmlns:a="http://schemas.openxmlformats.org/drawingml/2006/main">
                <a:ext uri="{FF2B5EF4-FFF2-40B4-BE49-F238E27FC236}">
                  <a16:creationId xmlns:a16="http://schemas.microsoft.com/office/drawing/2014/main" id="{7094CBEB-A7CB-DF43-9DD2-4BE5F1776C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6B09706" w14:textId="0F9E8A2A" w:rsidR="00587FB1" w:rsidRDefault="00587FB1" w:rsidP="00450032"/>
    <w:p w14:paraId="50271D96" w14:textId="29AD820F" w:rsidR="00587FB1" w:rsidRPr="00587FB1" w:rsidRDefault="00587FB1" w:rsidP="00450032">
      <w:pPr>
        <w:rPr>
          <w:b/>
          <w:bCs/>
        </w:rPr>
      </w:pPr>
      <w:r>
        <w:rPr>
          <w:b/>
          <w:bCs/>
        </w:rPr>
        <w:t>Total</w:t>
      </w:r>
    </w:p>
    <w:p w14:paraId="4FD57464" w14:textId="3D27C0CD" w:rsidR="00344F27" w:rsidRPr="008E4384" w:rsidRDefault="008E4384" w:rsidP="008E4384">
      <w:pPr>
        <w:rPr>
          <w:b/>
          <w:bCs/>
          <w:sz w:val="22"/>
          <w:szCs w:val="22"/>
        </w:rPr>
      </w:pPr>
      <w:r>
        <w:rPr>
          <w:b/>
          <w:bCs/>
          <w:sz w:val="22"/>
          <w:szCs w:val="22"/>
        </w:rPr>
        <w:t xml:space="preserve">                                                                                                              </w:t>
      </w:r>
      <w:r>
        <w:rPr>
          <w:b/>
          <w:bCs/>
          <w:sz w:val="22"/>
          <w:szCs w:val="22"/>
        </w:rPr>
        <w:tab/>
      </w:r>
      <w:r>
        <w:rPr>
          <w:b/>
          <w:bCs/>
          <w:sz w:val="22"/>
          <w:szCs w:val="22"/>
        </w:rPr>
        <w:tab/>
      </w:r>
      <w:r w:rsidR="00344F27" w:rsidRPr="008E4384">
        <w:rPr>
          <w:b/>
          <w:bCs/>
          <w:sz w:val="22"/>
          <w:szCs w:val="22"/>
        </w:rPr>
        <w:t xml:space="preserve"> </w:t>
      </w:r>
    </w:p>
    <w:p w14:paraId="5F20EE54" w14:textId="61D707C3" w:rsidR="00344F27" w:rsidRPr="008E4384" w:rsidRDefault="00344F27" w:rsidP="00450032">
      <w:pPr>
        <w:rPr>
          <w:sz w:val="22"/>
          <w:szCs w:val="22"/>
        </w:rPr>
      </w:pPr>
    </w:p>
    <w:p w14:paraId="4E520E2B" w14:textId="5C023FE5" w:rsidR="00344F27" w:rsidRDefault="00344F27" w:rsidP="00450032"/>
    <w:p w14:paraId="66D80782" w14:textId="77777777" w:rsidR="00344F27" w:rsidRDefault="00344F27" w:rsidP="00450032">
      <w:pPr>
        <w:rPr>
          <w:b/>
          <w:bCs/>
        </w:rPr>
      </w:pPr>
    </w:p>
    <w:p w14:paraId="4AD482DA" w14:textId="77777777" w:rsidR="00344F27" w:rsidRDefault="00344F27" w:rsidP="00450032"/>
    <w:p w14:paraId="72A09090" w14:textId="77777777" w:rsidR="00344F27" w:rsidRDefault="00344F27" w:rsidP="00450032"/>
    <w:p w14:paraId="0A2A632B" w14:textId="5E318744" w:rsidR="009B0E89" w:rsidRDefault="00344F27" w:rsidP="00450032">
      <w:r>
        <w:rPr>
          <w:noProof/>
        </w:rPr>
        <w:lastRenderedPageBreak/>
        <w:drawing>
          <wp:inline distT="0" distB="0" distL="0" distR="0" wp14:anchorId="4AB3B348" wp14:editId="244D1544">
            <wp:extent cx="5943600" cy="3609975"/>
            <wp:effectExtent l="0" t="0" r="12700" b="9525"/>
            <wp:docPr id="13" name="Chart 13">
              <a:extLst xmlns:a="http://schemas.openxmlformats.org/drawingml/2006/main">
                <a:ext uri="{FF2B5EF4-FFF2-40B4-BE49-F238E27FC236}">
                  <a16:creationId xmlns:a16="http://schemas.microsoft.com/office/drawing/2014/main" id="{E0062AD1-8AC3-2247-AEF3-8C002E8FE4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EB7EE15" w14:textId="77777777" w:rsidR="00587FB1" w:rsidRDefault="00587FB1" w:rsidP="00587FB1">
      <w:r w:rsidRPr="00344F27">
        <w:rPr>
          <w:b/>
          <w:bCs/>
        </w:rPr>
        <w:t>Total without EOG</w:t>
      </w:r>
      <w:r>
        <w:t xml:space="preserve"> (agencies that provided logs) </w:t>
      </w:r>
    </w:p>
    <w:tbl>
      <w:tblPr>
        <w:tblW w:w="3060" w:type="dxa"/>
        <w:tblLook w:val="04A0" w:firstRow="1" w:lastRow="0" w:firstColumn="1" w:lastColumn="0" w:noHBand="0" w:noVBand="1"/>
      </w:tblPr>
      <w:tblGrid>
        <w:gridCol w:w="2136"/>
        <w:gridCol w:w="1500"/>
      </w:tblGrid>
      <w:tr w:rsidR="00587FB1" w14:paraId="7D2307C3" w14:textId="77777777" w:rsidTr="003E1157">
        <w:trPr>
          <w:trHeight w:val="320"/>
        </w:trPr>
        <w:tc>
          <w:tcPr>
            <w:tcW w:w="1560" w:type="dxa"/>
            <w:tcBorders>
              <w:top w:val="single" w:sz="4" w:space="0" w:color="D9D9D9"/>
              <w:left w:val="nil"/>
              <w:bottom w:val="single" w:sz="4" w:space="0" w:color="D9D9D9"/>
              <w:right w:val="nil"/>
            </w:tcBorders>
            <w:shd w:val="clear" w:color="auto" w:fill="auto"/>
            <w:noWrap/>
            <w:vAlign w:val="bottom"/>
            <w:hideMark/>
          </w:tcPr>
          <w:p w14:paraId="113554CD" w14:textId="77777777" w:rsidR="00587FB1" w:rsidRPr="00344F27" w:rsidRDefault="00587FB1" w:rsidP="003E1157">
            <w:pPr>
              <w:rPr>
                <w:color w:val="000000"/>
              </w:rPr>
            </w:pPr>
            <w:r w:rsidRPr="00344F27">
              <w:rPr>
                <w:color w:val="000000"/>
              </w:rPr>
              <w:t>For-profit</w:t>
            </w:r>
            <w:r>
              <w:rPr>
                <w:color w:val="000000"/>
              </w:rPr>
              <w:t xml:space="preserve"> business</w:t>
            </w:r>
          </w:p>
        </w:tc>
        <w:tc>
          <w:tcPr>
            <w:tcW w:w="1500" w:type="dxa"/>
            <w:tcBorders>
              <w:top w:val="single" w:sz="4" w:space="0" w:color="D9D9D9"/>
              <w:left w:val="nil"/>
              <w:bottom w:val="single" w:sz="4" w:space="0" w:color="D9D9D9"/>
              <w:right w:val="nil"/>
            </w:tcBorders>
            <w:shd w:val="clear" w:color="auto" w:fill="auto"/>
            <w:noWrap/>
            <w:vAlign w:val="bottom"/>
            <w:hideMark/>
          </w:tcPr>
          <w:p w14:paraId="460306A7" w14:textId="77777777" w:rsidR="00587FB1" w:rsidRPr="00344F27" w:rsidRDefault="00587FB1" w:rsidP="003E1157">
            <w:pPr>
              <w:jc w:val="right"/>
              <w:rPr>
                <w:color w:val="000000"/>
              </w:rPr>
            </w:pPr>
            <w:r w:rsidRPr="00344F27">
              <w:rPr>
                <w:color w:val="000000"/>
              </w:rPr>
              <w:t>5</w:t>
            </w:r>
            <w:r>
              <w:rPr>
                <w:color w:val="000000"/>
              </w:rPr>
              <w:t>,</w:t>
            </w:r>
            <w:r w:rsidRPr="00344F27">
              <w:rPr>
                <w:color w:val="000000"/>
              </w:rPr>
              <w:t>169</w:t>
            </w:r>
          </w:p>
        </w:tc>
      </w:tr>
      <w:tr w:rsidR="00587FB1" w14:paraId="0F83E1E5" w14:textId="77777777" w:rsidTr="003E1157">
        <w:trPr>
          <w:trHeight w:val="320"/>
        </w:trPr>
        <w:tc>
          <w:tcPr>
            <w:tcW w:w="1560" w:type="dxa"/>
            <w:tcBorders>
              <w:top w:val="single" w:sz="4" w:space="0" w:color="D9D9D9"/>
              <w:left w:val="nil"/>
              <w:bottom w:val="single" w:sz="4" w:space="0" w:color="D9D9D9"/>
              <w:right w:val="nil"/>
            </w:tcBorders>
            <w:shd w:val="clear" w:color="auto" w:fill="auto"/>
            <w:noWrap/>
            <w:vAlign w:val="bottom"/>
            <w:hideMark/>
          </w:tcPr>
          <w:p w14:paraId="43EDAE8A" w14:textId="77777777" w:rsidR="00587FB1" w:rsidRPr="00344F27" w:rsidRDefault="00587FB1" w:rsidP="003E1157">
            <w:pPr>
              <w:rPr>
                <w:color w:val="000000"/>
              </w:rPr>
            </w:pPr>
            <w:r w:rsidRPr="00344F27">
              <w:rPr>
                <w:color w:val="000000"/>
              </w:rPr>
              <w:t>I</w:t>
            </w:r>
            <w:r>
              <w:rPr>
                <w:color w:val="000000"/>
              </w:rPr>
              <w:t>ndividual</w:t>
            </w:r>
            <w:r w:rsidRPr="00344F27">
              <w:rPr>
                <w:color w:val="000000"/>
              </w:rPr>
              <w:t>/U</w:t>
            </w:r>
            <w:r>
              <w:rPr>
                <w:color w:val="000000"/>
              </w:rPr>
              <w:t>ncoded</w:t>
            </w:r>
          </w:p>
        </w:tc>
        <w:tc>
          <w:tcPr>
            <w:tcW w:w="1500" w:type="dxa"/>
            <w:tcBorders>
              <w:top w:val="single" w:sz="4" w:space="0" w:color="D9D9D9"/>
              <w:left w:val="nil"/>
              <w:bottom w:val="single" w:sz="4" w:space="0" w:color="D9D9D9"/>
              <w:right w:val="nil"/>
            </w:tcBorders>
            <w:shd w:val="clear" w:color="auto" w:fill="auto"/>
            <w:noWrap/>
            <w:vAlign w:val="bottom"/>
            <w:hideMark/>
          </w:tcPr>
          <w:p w14:paraId="104DB0CA" w14:textId="77777777" w:rsidR="00587FB1" w:rsidRPr="00344F27" w:rsidRDefault="00587FB1" w:rsidP="003E1157">
            <w:pPr>
              <w:jc w:val="right"/>
              <w:rPr>
                <w:color w:val="000000"/>
              </w:rPr>
            </w:pPr>
            <w:r w:rsidRPr="00344F27">
              <w:rPr>
                <w:color w:val="000000"/>
              </w:rPr>
              <w:t>4</w:t>
            </w:r>
            <w:r>
              <w:rPr>
                <w:color w:val="000000"/>
              </w:rPr>
              <w:t>,</w:t>
            </w:r>
            <w:r w:rsidRPr="00344F27">
              <w:rPr>
                <w:color w:val="000000"/>
              </w:rPr>
              <w:t>815</w:t>
            </w:r>
          </w:p>
        </w:tc>
      </w:tr>
      <w:tr w:rsidR="00587FB1" w14:paraId="3C47850A" w14:textId="77777777" w:rsidTr="003E1157">
        <w:trPr>
          <w:trHeight w:val="320"/>
        </w:trPr>
        <w:tc>
          <w:tcPr>
            <w:tcW w:w="1560" w:type="dxa"/>
            <w:tcBorders>
              <w:top w:val="single" w:sz="4" w:space="0" w:color="D9D9D9"/>
              <w:left w:val="nil"/>
              <w:bottom w:val="single" w:sz="4" w:space="0" w:color="D9D9D9"/>
              <w:right w:val="nil"/>
            </w:tcBorders>
            <w:shd w:val="clear" w:color="auto" w:fill="auto"/>
            <w:noWrap/>
            <w:vAlign w:val="bottom"/>
            <w:hideMark/>
          </w:tcPr>
          <w:p w14:paraId="517DBD9F" w14:textId="77777777" w:rsidR="00587FB1" w:rsidRPr="00344F27" w:rsidRDefault="00587FB1" w:rsidP="003E1157">
            <w:pPr>
              <w:rPr>
                <w:color w:val="000000"/>
              </w:rPr>
            </w:pPr>
            <w:r w:rsidRPr="00344F27">
              <w:rPr>
                <w:color w:val="000000"/>
              </w:rPr>
              <w:t>Legal</w:t>
            </w:r>
          </w:p>
        </w:tc>
        <w:tc>
          <w:tcPr>
            <w:tcW w:w="1500" w:type="dxa"/>
            <w:tcBorders>
              <w:top w:val="single" w:sz="4" w:space="0" w:color="D9D9D9"/>
              <w:left w:val="nil"/>
              <w:bottom w:val="single" w:sz="4" w:space="0" w:color="D9D9D9"/>
              <w:right w:val="nil"/>
            </w:tcBorders>
            <w:shd w:val="clear" w:color="auto" w:fill="auto"/>
            <w:noWrap/>
            <w:vAlign w:val="bottom"/>
            <w:hideMark/>
          </w:tcPr>
          <w:p w14:paraId="5FE055C6" w14:textId="77777777" w:rsidR="00587FB1" w:rsidRPr="00344F27" w:rsidRDefault="00587FB1" w:rsidP="003E1157">
            <w:pPr>
              <w:jc w:val="right"/>
              <w:rPr>
                <w:color w:val="000000"/>
              </w:rPr>
            </w:pPr>
            <w:r w:rsidRPr="00344F27">
              <w:rPr>
                <w:color w:val="000000"/>
              </w:rPr>
              <w:t>3</w:t>
            </w:r>
            <w:r>
              <w:rPr>
                <w:color w:val="000000"/>
              </w:rPr>
              <w:t>,</w:t>
            </w:r>
            <w:r w:rsidRPr="00344F27">
              <w:rPr>
                <w:color w:val="000000"/>
              </w:rPr>
              <w:t>288</w:t>
            </w:r>
          </w:p>
        </w:tc>
      </w:tr>
      <w:tr w:rsidR="00587FB1" w14:paraId="70A9B75D" w14:textId="77777777" w:rsidTr="003E1157">
        <w:trPr>
          <w:trHeight w:val="320"/>
        </w:trPr>
        <w:tc>
          <w:tcPr>
            <w:tcW w:w="1560" w:type="dxa"/>
            <w:tcBorders>
              <w:top w:val="single" w:sz="4" w:space="0" w:color="D9D9D9"/>
              <w:left w:val="nil"/>
              <w:bottom w:val="single" w:sz="4" w:space="0" w:color="D9D9D9"/>
              <w:right w:val="nil"/>
            </w:tcBorders>
            <w:shd w:val="clear" w:color="auto" w:fill="auto"/>
            <w:noWrap/>
            <w:vAlign w:val="bottom"/>
            <w:hideMark/>
          </w:tcPr>
          <w:p w14:paraId="1EC7B0FE" w14:textId="77777777" w:rsidR="00587FB1" w:rsidRPr="00344F27" w:rsidRDefault="00587FB1" w:rsidP="003E1157">
            <w:pPr>
              <w:rPr>
                <w:color w:val="000000"/>
              </w:rPr>
            </w:pPr>
            <w:r w:rsidRPr="00344F27">
              <w:rPr>
                <w:color w:val="000000"/>
              </w:rPr>
              <w:t xml:space="preserve">Government </w:t>
            </w:r>
          </w:p>
        </w:tc>
        <w:tc>
          <w:tcPr>
            <w:tcW w:w="1500" w:type="dxa"/>
            <w:tcBorders>
              <w:top w:val="single" w:sz="4" w:space="0" w:color="D9D9D9"/>
              <w:left w:val="nil"/>
              <w:bottom w:val="single" w:sz="4" w:space="0" w:color="D9D9D9"/>
              <w:right w:val="nil"/>
            </w:tcBorders>
            <w:shd w:val="clear" w:color="auto" w:fill="auto"/>
            <w:noWrap/>
            <w:vAlign w:val="bottom"/>
            <w:hideMark/>
          </w:tcPr>
          <w:p w14:paraId="6DDDCA60" w14:textId="77777777" w:rsidR="00587FB1" w:rsidRPr="00344F27" w:rsidRDefault="00587FB1" w:rsidP="003E1157">
            <w:pPr>
              <w:jc w:val="right"/>
              <w:rPr>
                <w:color w:val="000000"/>
              </w:rPr>
            </w:pPr>
            <w:r w:rsidRPr="00344F27">
              <w:rPr>
                <w:color w:val="000000"/>
              </w:rPr>
              <w:t>1</w:t>
            </w:r>
            <w:r>
              <w:rPr>
                <w:color w:val="000000"/>
              </w:rPr>
              <w:t>,</w:t>
            </w:r>
            <w:r w:rsidRPr="00344F27">
              <w:rPr>
                <w:color w:val="000000"/>
              </w:rPr>
              <w:t>165</w:t>
            </w:r>
          </w:p>
        </w:tc>
      </w:tr>
      <w:tr w:rsidR="00587FB1" w14:paraId="2F673FC2" w14:textId="77777777" w:rsidTr="003E1157">
        <w:trPr>
          <w:trHeight w:val="320"/>
        </w:trPr>
        <w:tc>
          <w:tcPr>
            <w:tcW w:w="1560" w:type="dxa"/>
            <w:tcBorders>
              <w:top w:val="single" w:sz="4" w:space="0" w:color="D9D9D9"/>
              <w:left w:val="nil"/>
              <w:bottom w:val="single" w:sz="4" w:space="0" w:color="D9D9D9"/>
              <w:right w:val="nil"/>
            </w:tcBorders>
            <w:shd w:val="clear" w:color="auto" w:fill="auto"/>
            <w:noWrap/>
            <w:vAlign w:val="bottom"/>
            <w:hideMark/>
          </w:tcPr>
          <w:p w14:paraId="39EC599B" w14:textId="77777777" w:rsidR="00587FB1" w:rsidRPr="00344F27" w:rsidRDefault="00587FB1" w:rsidP="003E1157">
            <w:pPr>
              <w:rPr>
                <w:color w:val="000000"/>
              </w:rPr>
            </w:pPr>
            <w:r w:rsidRPr="00344F27">
              <w:rPr>
                <w:color w:val="000000"/>
              </w:rPr>
              <w:t>Insurance</w:t>
            </w:r>
          </w:p>
        </w:tc>
        <w:tc>
          <w:tcPr>
            <w:tcW w:w="1500" w:type="dxa"/>
            <w:tcBorders>
              <w:top w:val="single" w:sz="4" w:space="0" w:color="D9D9D9"/>
              <w:left w:val="nil"/>
              <w:bottom w:val="single" w:sz="4" w:space="0" w:color="D9D9D9"/>
              <w:right w:val="nil"/>
            </w:tcBorders>
            <w:shd w:val="clear" w:color="auto" w:fill="auto"/>
            <w:noWrap/>
            <w:vAlign w:val="bottom"/>
            <w:hideMark/>
          </w:tcPr>
          <w:p w14:paraId="3B365BA9" w14:textId="77777777" w:rsidR="00587FB1" w:rsidRPr="00344F27" w:rsidRDefault="00587FB1" w:rsidP="003E1157">
            <w:pPr>
              <w:jc w:val="right"/>
              <w:rPr>
                <w:color w:val="000000"/>
              </w:rPr>
            </w:pPr>
            <w:r w:rsidRPr="00344F27">
              <w:rPr>
                <w:color w:val="000000"/>
              </w:rPr>
              <w:t>325</w:t>
            </w:r>
          </w:p>
        </w:tc>
      </w:tr>
      <w:tr w:rsidR="00587FB1" w14:paraId="7AB7024C" w14:textId="77777777" w:rsidTr="003E1157">
        <w:trPr>
          <w:trHeight w:val="320"/>
        </w:trPr>
        <w:tc>
          <w:tcPr>
            <w:tcW w:w="1560" w:type="dxa"/>
            <w:tcBorders>
              <w:top w:val="single" w:sz="4" w:space="0" w:color="D9D9D9"/>
              <w:left w:val="nil"/>
              <w:bottom w:val="single" w:sz="4" w:space="0" w:color="D9D9D9"/>
              <w:right w:val="nil"/>
            </w:tcBorders>
            <w:shd w:val="clear" w:color="auto" w:fill="auto"/>
            <w:noWrap/>
            <w:vAlign w:val="bottom"/>
            <w:hideMark/>
          </w:tcPr>
          <w:p w14:paraId="2705B564" w14:textId="77777777" w:rsidR="00587FB1" w:rsidRPr="00344F27" w:rsidRDefault="00587FB1" w:rsidP="003E1157">
            <w:pPr>
              <w:rPr>
                <w:color w:val="000000"/>
              </w:rPr>
            </w:pPr>
            <w:r w:rsidRPr="00344F27">
              <w:rPr>
                <w:color w:val="000000"/>
              </w:rPr>
              <w:t>Media</w:t>
            </w:r>
          </w:p>
        </w:tc>
        <w:tc>
          <w:tcPr>
            <w:tcW w:w="1500" w:type="dxa"/>
            <w:tcBorders>
              <w:top w:val="single" w:sz="4" w:space="0" w:color="D9D9D9"/>
              <w:left w:val="nil"/>
              <w:bottom w:val="single" w:sz="4" w:space="0" w:color="D9D9D9"/>
              <w:right w:val="nil"/>
            </w:tcBorders>
            <w:shd w:val="clear" w:color="auto" w:fill="auto"/>
            <w:noWrap/>
            <w:vAlign w:val="bottom"/>
            <w:hideMark/>
          </w:tcPr>
          <w:p w14:paraId="210C94D9" w14:textId="77777777" w:rsidR="00587FB1" w:rsidRPr="00344F27" w:rsidRDefault="00587FB1" w:rsidP="003E1157">
            <w:pPr>
              <w:jc w:val="right"/>
              <w:rPr>
                <w:color w:val="000000"/>
              </w:rPr>
            </w:pPr>
            <w:r w:rsidRPr="00344F27">
              <w:rPr>
                <w:color w:val="000000"/>
              </w:rPr>
              <w:t>316</w:t>
            </w:r>
          </w:p>
        </w:tc>
      </w:tr>
      <w:tr w:rsidR="00587FB1" w14:paraId="61D9B11B" w14:textId="77777777" w:rsidTr="003E1157">
        <w:trPr>
          <w:trHeight w:val="320"/>
        </w:trPr>
        <w:tc>
          <w:tcPr>
            <w:tcW w:w="1560" w:type="dxa"/>
            <w:tcBorders>
              <w:top w:val="single" w:sz="4" w:space="0" w:color="D9D9D9"/>
              <w:left w:val="nil"/>
              <w:bottom w:val="single" w:sz="4" w:space="0" w:color="D9D9D9"/>
              <w:right w:val="nil"/>
            </w:tcBorders>
            <w:shd w:val="clear" w:color="auto" w:fill="auto"/>
            <w:noWrap/>
            <w:vAlign w:val="bottom"/>
            <w:hideMark/>
          </w:tcPr>
          <w:p w14:paraId="59E02A06" w14:textId="77777777" w:rsidR="00587FB1" w:rsidRPr="00344F27" w:rsidRDefault="00587FB1" w:rsidP="003E1157">
            <w:pPr>
              <w:rPr>
                <w:color w:val="000000"/>
              </w:rPr>
            </w:pPr>
            <w:r w:rsidRPr="00344F27">
              <w:rPr>
                <w:color w:val="000000"/>
              </w:rPr>
              <w:t>Non-profit</w:t>
            </w:r>
          </w:p>
        </w:tc>
        <w:tc>
          <w:tcPr>
            <w:tcW w:w="1500" w:type="dxa"/>
            <w:tcBorders>
              <w:top w:val="single" w:sz="4" w:space="0" w:color="D9D9D9"/>
              <w:left w:val="nil"/>
              <w:bottom w:val="single" w:sz="4" w:space="0" w:color="D9D9D9"/>
              <w:right w:val="nil"/>
            </w:tcBorders>
            <w:shd w:val="clear" w:color="auto" w:fill="auto"/>
            <w:noWrap/>
            <w:vAlign w:val="bottom"/>
            <w:hideMark/>
          </w:tcPr>
          <w:p w14:paraId="07B9114F" w14:textId="77777777" w:rsidR="00587FB1" w:rsidRPr="00344F27" w:rsidRDefault="00587FB1" w:rsidP="003E1157">
            <w:pPr>
              <w:jc w:val="right"/>
              <w:rPr>
                <w:color w:val="000000"/>
              </w:rPr>
            </w:pPr>
            <w:r w:rsidRPr="00344F27">
              <w:rPr>
                <w:color w:val="000000"/>
              </w:rPr>
              <w:t>309</w:t>
            </w:r>
          </w:p>
        </w:tc>
      </w:tr>
      <w:tr w:rsidR="00587FB1" w14:paraId="617A970E" w14:textId="77777777" w:rsidTr="003E1157">
        <w:trPr>
          <w:trHeight w:val="320"/>
        </w:trPr>
        <w:tc>
          <w:tcPr>
            <w:tcW w:w="1560" w:type="dxa"/>
            <w:tcBorders>
              <w:top w:val="single" w:sz="4" w:space="0" w:color="D9D9D9"/>
              <w:left w:val="nil"/>
              <w:bottom w:val="single" w:sz="4" w:space="0" w:color="D9D9D9"/>
              <w:right w:val="nil"/>
            </w:tcBorders>
            <w:shd w:val="clear" w:color="auto" w:fill="auto"/>
            <w:noWrap/>
            <w:vAlign w:val="bottom"/>
            <w:hideMark/>
          </w:tcPr>
          <w:p w14:paraId="776C357E" w14:textId="77777777" w:rsidR="00587FB1" w:rsidRPr="00344F27" w:rsidRDefault="00587FB1" w:rsidP="003E1157">
            <w:pPr>
              <w:rPr>
                <w:color w:val="000000"/>
              </w:rPr>
            </w:pPr>
            <w:r w:rsidRPr="00344F27">
              <w:rPr>
                <w:color w:val="000000"/>
              </w:rPr>
              <w:t xml:space="preserve">Academic </w:t>
            </w:r>
          </w:p>
        </w:tc>
        <w:tc>
          <w:tcPr>
            <w:tcW w:w="1500" w:type="dxa"/>
            <w:tcBorders>
              <w:top w:val="single" w:sz="4" w:space="0" w:color="D9D9D9"/>
              <w:left w:val="nil"/>
              <w:bottom w:val="single" w:sz="4" w:space="0" w:color="D9D9D9"/>
              <w:right w:val="nil"/>
            </w:tcBorders>
            <w:shd w:val="clear" w:color="auto" w:fill="auto"/>
            <w:noWrap/>
            <w:vAlign w:val="bottom"/>
            <w:hideMark/>
          </w:tcPr>
          <w:p w14:paraId="0D4D1711" w14:textId="77777777" w:rsidR="00587FB1" w:rsidRPr="00344F27" w:rsidRDefault="00587FB1" w:rsidP="003E1157">
            <w:pPr>
              <w:jc w:val="right"/>
              <w:rPr>
                <w:color w:val="000000"/>
              </w:rPr>
            </w:pPr>
            <w:r w:rsidRPr="00344F27">
              <w:rPr>
                <w:color w:val="000000"/>
              </w:rPr>
              <w:t>85</w:t>
            </w:r>
          </w:p>
        </w:tc>
      </w:tr>
      <w:tr w:rsidR="00587FB1" w14:paraId="33BAAF21" w14:textId="77777777" w:rsidTr="003E1157">
        <w:trPr>
          <w:trHeight w:val="320"/>
        </w:trPr>
        <w:tc>
          <w:tcPr>
            <w:tcW w:w="1560" w:type="dxa"/>
            <w:tcBorders>
              <w:top w:val="single" w:sz="4" w:space="0" w:color="D9D9D9"/>
              <w:left w:val="nil"/>
              <w:bottom w:val="single" w:sz="4" w:space="0" w:color="D9D9D9"/>
              <w:right w:val="nil"/>
            </w:tcBorders>
            <w:shd w:val="clear" w:color="auto" w:fill="auto"/>
            <w:noWrap/>
            <w:vAlign w:val="bottom"/>
            <w:hideMark/>
          </w:tcPr>
          <w:p w14:paraId="3701D08C" w14:textId="77777777" w:rsidR="00587FB1" w:rsidRPr="00344F27" w:rsidRDefault="00587FB1" w:rsidP="003E1157">
            <w:pPr>
              <w:rPr>
                <w:color w:val="000000"/>
              </w:rPr>
            </w:pPr>
            <w:r w:rsidRPr="00344F27">
              <w:rPr>
                <w:color w:val="000000"/>
              </w:rPr>
              <w:t>Lobbyists</w:t>
            </w:r>
          </w:p>
        </w:tc>
        <w:tc>
          <w:tcPr>
            <w:tcW w:w="1500" w:type="dxa"/>
            <w:tcBorders>
              <w:top w:val="single" w:sz="4" w:space="0" w:color="D9D9D9"/>
              <w:left w:val="nil"/>
              <w:bottom w:val="single" w:sz="4" w:space="0" w:color="D9D9D9"/>
              <w:right w:val="nil"/>
            </w:tcBorders>
            <w:shd w:val="clear" w:color="auto" w:fill="auto"/>
            <w:noWrap/>
            <w:vAlign w:val="bottom"/>
            <w:hideMark/>
          </w:tcPr>
          <w:p w14:paraId="5BAA6A3E" w14:textId="77777777" w:rsidR="00587FB1" w:rsidRPr="00344F27" w:rsidRDefault="00587FB1" w:rsidP="003E1157">
            <w:pPr>
              <w:jc w:val="right"/>
              <w:rPr>
                <w:color w:val="000000"/>
              </w:rPr>
            </w:pPr>
            <w:r w:rsidRPr="00344F27">
              <w:rPr>
                <w:color w:val="000000"/>
              </w:rPr>
              <w:t>20</w:t>
            </w:r>
          </w:p>
        </w:tc>
      </w:tr>
      <w:tr w:rsidR="00587FB1" w14:paraId="2752CB24" w14:textId="77777777" w:rsidTr="003E1157">
        <w:trPr>
          <w:trHeight w:val="320"/>
        </w:trPr>
        <w:tc>
          <w:tcPr>
            <w:tcW w:w="1560" w:type="dxa"/>
            <w:tcBorders>
              <w:top w:val="single" w:sz="4" w:space="0" w:color="D9D9D9"/>
              <w:left w:val="nil"/>
              <w:bottom w:val="single" w:sz="4" w:space="0" w:color="D9D9D9"/>
              <w:right w:val="nil"/>
            </w:tcBorders>
            <w:shd w:val="clear" w:color="auto" w:fill="auto"/>
            <w:noWrap/>
            <w:vAlign w:val="bottom"/>
            <w:hideMark/>
          </w:tcPr>
          <w:p w14:paraId="1BDD6054" w14:textId="77777777" w:rsidR="00587FB1" w:rsidRPr="00344F27" w:rsidRDefault="00587FB1" w:rsidP="003E1157">
            <w:pPr>
              <w:rPr>
                <w:color w:val="000000"/>
              </w:rPr>
            </w:pPr>
            <w:r w:rsidRPr="00344F27">
              <w:rPr>
                <w:color w:val="000000"/>
              </w:rPr>
              <w:t xml:space="preserve">Union </w:t>
            </w:r>
          </w:p>
        </w:tc>
        <w:tc>
          <w:tcPr>
            <w:tcW w:w="1500" w:type="dxa"/>
            <w:tcBorders>
              <w:top w:val="single" w:sz="4" w:space="0" w:color="D9D9D9"/>
              <w:left w:val="nil"/>
              <w:bottom w:val="single" w:sz="4" w:space="0" w:color="D9D9D9"/>
              <w:right w:val="nil"/>
            </w:tcBorders>
            <w:shd w:val="clear" w:color="auto" w:fill="auto"/>
            <w:noWrap/>
            <w:vAlign w:val="bottom"/>
            <w:hideMark/>
          </w:tcPr>
          <w:p w14:paraId="16C53A1B" w14:textId="77777777" w:rsidR="00587FB1" w:rsidRPr="00344F27" w:rsidRDefault="00587FB1" w:rsidP="003E1157">
            <w:pPr>
              <w:jc w:val="right"/>
              <w:rPr>
                <w:color w:val="000000"/>
              </w:rPr>
            </w:pPr>
            <w:r w:rsidRPr="00344F27">
              <w:rPr>
                <w:color w:val="000000"/>
              </w:rPr>
              <w:t>10</w:t>
            </w:r>
          </w:p>
        </w:tc>
      </w:tr>
      <w:tr w:rsidR="00587FB1" w14:paraId="2B05A967" w14:textId="77777777" w:rsidTr="003E1157">
        <w:trPr>
          <w:trHeight w:val="320"/>
        </w:trPr>
        <w:tc>
          <w:tcPr>
            <w:tcW w:w="1560" w:type="dxa"/>
            <w:tcBorders>
              <w:top w:val="single" w:sz="4" w:space="0" w:color="808080"/>
              <w:left w:val="nil"/>
              <w:bottom w:val="single" w:sz="4" w:space="0" w:color="808080"/>
              <w:right w:val="nil"/>
            </w:tcBorders>
            <w:shd w:val="clear" w:color="FFFFFF" w:fill="FFFFFF"/>
            <w:noWrap/>
            <w:vAlign w:val="bottom"/>
            <w:hideMark/>
          </w:tcPr>
          <w:p w14:paraId="2E47F9CC" w14:textId="77777777" w:rsidR="00587FB1" w:rsidRPr="00344F27" w:rsidRDefault="00587FB1" w:rsidP="003E1157">
            <w:pPr>
              <w:rPr>
                <w:b/>
                <w:bCs/>
                <w:color w:val="000000"/>
              </w:rPr>
            </w:pPr>
            <w:r w:rsidRPr="00344F27">
              <w:rPr>
                <w:b/>
                <w:bCs/>
                <w:color w:val="000000"/>
              </w:rPr>
              <w:t>Grand Total</w:t>
            </w:r>
          </w:p>
        </w:tc>
        <w:tc>
          <w:tcPr>
            <w:tcW w:w="1500" w:type="dxa"/>
            <w:tcBorders>
              <w:top w:val="single" w:sz="4" w:space="0" w:color="808080"/>
              <w:left w:val="nil"/>
              <w:bottom w:val="single" w:sz="4" w:space="0" w:color="808080"/>
              <w:right w:val="nil"/>
            </w:tcBorders>
            <w:shd w:val="clear" w:color="FFFFFF" w:fill="FFFFFF"/>
            <w:noWrap/>
            <w:vAlign w:val="bottom"/>
            <w:hideMark/>
          </w:tcPr>
          <w:p w14:paraId="1A46D929" w14:textId="77777777" w:rsidR="00587FB1" w:rsidRPr="00344F27" w:rsidRDefault="00587FB1" w:rsidP="003E1157">
            <w:pPr>
              <w:jc w:val="right"/>
              <w:rPr>
                <w:b/>
                <w:bCs/>
                <w:color w:val="000000"/>
              </w:rPr>
            </w:pPr>
            <w:r w:rsidRPr="00344F27">
              <w:rPr>
                <w:b/>
                <w:bCs/>
                <w:color w:val="000000"/>
              </w:rPr>
              <w:t>15</w:t>
            </w:r>
            <w:r>
              <w:rPr>
                <w:b/>
                <w:bCs/>
                <w:color w:val="000000"/>
              </w:rPr>
              <w:t>,</w:t>
            </w:r>
            <w:r w:rsidRPr="00344F27">
              <w:rPr>
                <w:b/>
                <w:bCs/>
                <w:color w:val="000000"/>
              </w:rPr>
              <w:t>502</w:t>
            </w:r>
          </w:p>
        </w:tc>
      </w:tr>
    </w:tbl>
    <w:p w14:paraId="2D1F2414" w14:textId="77777777" w:rsidR="00587FB1" w:rsidRDefault="00587FB1" w:rsidP="00450032"/>
    <w:p w14:paraId="6999AD5A" w14:textId="00634727" w:rsidR="009B0E89" w:rsidRDefault="00A9038F" w:rsidP="00450032">
      <w:r>
        <w:t xml:space="preserve"> </w:t>
      </w:r>
    </w:p>
    <w:p w14:paraId="3E57CED7" w14:textId="36010B69" w:rsidR="00A551F9" w:rsidRDefault="00344F27" w:rsidP="008E4384">
      <w:pPr>
        <w:spacing w:line="480" w:lineRule="auto"/>
        <w:ind w:firstLine="720"/>
      </w:pPr>
      <w:r>
        <w:t>Looking at the four agencies that provided logs, 1,883</w:t>
      </w:r>
      <w:r w:rsidR="00C112F6">
        <w:t xml:space="preserve"> requests – </w:t>
      </w:r>
      <w:r w:rsidR="008E4384">
        <w:t>or twelve percent</w:t>
      </w:r>
      <w:r w:rsidR="00C112F6">
        <w:t xml:space="preserve"> – </w:t>
      </w:r>
      <w:r>
        <w:t xml:space="preserve">would be entitled to a fee waiver. Nearly one third of all requests came from for-profit businesses. Many businesses sought information about agency contracts. This is especially true for requests to the Department of Lottery; both individuals and printing companies sought </w:t>
      </w:r>
      <w:r>
        <w:lastRenderedPageBreak/>
        <w:t>records related to requests for proposals. Businesses, attorneys</w:t>
      </w:r>
      <w:r w:rsidR="00A551F9">
        <w:t>, and paralegals</w:t>
      </w:r>
      <w:r>
        <w:t xml:space="preserve"> </w:t>
      </w:r>
      <w:r w:rsidR="00A551F9">
        <w:t xml:space="preserve">(one fifth of all requests) </w:t>
      </w:r>
      <w:r>
        <w:t>frequently asked for permit and licenses applications</w:t>
      </w:r>
      <w:r w:rsidR="00A551F9">
        <w:t xml:space="preserve">, particularly </w:t>
      </w:r>
      <w:r>
        <w:t xml:space="preserve">to DEP and AHCA. </w:t>
      </w:r>
    </w:p>
    <w:p w14:paraId="22DDF53E" w14:textId="45F591B0" w:rsidR="00A551F9" w:rsidRDefault="00A551F9" w:rsidP="008E4384">
      <w:pPr>
        <w:spacing w:line="480" w:lineRule="auto"/>
        <w:ind w:firstLine="720"/>
      </w:pPr>
      <w:r>
        <w:t xml:space="preserve">A significant number of requests were individuals seeking their own records or records about themselves or their organization. For instance, many notaries public sought complaints filed against them </w:t>
      </w:r>
      <w:r w:rsidR="008E4384">
        <w:t>to</w:t>
      </w:r>
      <w:r>
        <w:t xml:space="preserve"> the Executive Office of the Governor and</w:t>
      </w:r>
      <w:r w:rsidR="00587FB1">
        <w:t xml:space="preserve"> </w:t>
      </w:r>
      <w:r>
        <w:t xml:space="preserve">health care facilities asked AHCA for their own records. </w:t>
      </w:r>
    </w:p>
    <w:p w14:paraId="337E86FF" w14:textId="00C0DA31" w:rsidR="00A551F9" w:rsidRDefault="00A551F9" w:rsidP="00FF5E1C">
      <w:pPr>
        <w:spacing w:line="480" w:lineRule="auto"/>
        <w:ind w:firstLine="720"/>
      </w:pPr>
      <w:r>
        <w:t xml:space="preserve">Based on the requests with sufficient information, nearly one third </w:t>
      </w:r>
      <w:r w:rsidR="008E4384">
        <w:t xml:space="preserve">of requests submitted to DACS could receive a </w:t>
      </w:r>
      <w:r>
        <w:t xml:space="preserve">fee waiver. The higher percentage may be attributed to the number of requests from government agencies, specifically from state attorney offices. </w:t>
      </w:r>
    </w:p>
    <w:p w14:paraId="0ADC3849" w14:textId="6C3F4440" w:rsidR="00A551F9" w:rsidRDefault="00A551F9" w:rsidP="008E4384">
      <w:pPr>
        <w:spacing w:line="480" w:lineRule="auto"/>
        <w:ind w:firstLine="720"/>
      </w:pPr>
      <w:r>
        <w:t xml:space="preserve">The EOG responded to the highest percentage of requests that would be entitled to a fee waiver. Of the 467 requests fulfilled during the applicable </w:t>
      </w:r>
      <w:proofErr w:type="gramStart"/>
      <w:r>
        <w:t>time period</w:t>
      </w:r>
      <w:proofErr w:type="gramEnd"/>
      <w:r>
        <w:t xml:space="preserve">, </w:t>
      </w:r>
      <w:r w:rsidR="00C112F6">
        <w:t>more than</w:t>
      </w:r>
      <w:r>
        <w:t xml:space="preserve"> half came from reporters, nonprofits, academic researchers, and other government agencies. </w:t>
      </w:r>
      <w:r w:rsidR="008E4384">
        <w:t>The</w:t>
      </w:r>
      <w:r>
        <w:t xml:space="preserve"> agency had the highest percent</w:t>
      </w:r>
      <w:r w:rsidR="00C112F6">
        <w:t>age</w:t>
      </w:r>
      <w:r>
        <w:t xml:space="preserve"> of requests from journalists – 43 percent. No other agency had more than seven percent of requests from journalists</w:t>
      </w:r>
      <w:r w:rsidR="008E4384">
        <w:t>.</w:t>
      </w:r>
      <w:r>
        <w:t xml:space="preserve"> A fee waiver would have the most effect on the EOG and its ability to </w:t>
      </w:r>
      <w:r w:rsidR="008E4384">
        <w:t>impose special service charges</w:t>
      </w:r>
      <w:r>
        <w:t xml:space="preserve"> for public records requests.  </w:t>
      </w:r>
    </w:p>
    <w:p w14:paraId="7965069A" w14:textId="4664BE78" w:rsidR="00450032" w:rsidRDefault="008E4384" w:rsidP="008E4384">
      <w:pPr>
        <w:spacing w:line="480" w:lineRule="auto"/>
        <w:ind w:firstLine="720"/>
      </w:pPr>
      <w:r>
        <w:t>A</w:t>
      </w:r>
      <w:r w:rsidR="00A551F9">
        <w:t xml:space="preserve">part from the EOG, only a small percentage of requesters </w:t>
      </w:r>
      <w:r w:rsidR="00900232">
        <w:t xml:space="preserve">at other agencies </w:t>
      </w:r>
      <w:r w:rsidR="00A551F9">
        <w:t xml:space="preserve">would be entitled to a fee waiver. </w:t>
      </w:r>
      <w:r>
        <w:t>An</w:t>
      </w:r>
      <w:r w:rsidR="00A551F9">
        <w:t xml:space="preserve"> agency could still charge for extensive use of information technology resources or labor for a large majority of requests. The effect of a fee waiver or reduction for requests made in the public interest would have a minimal financial effect on the reviewed state agencies. </w:t>
      </w:r>
    </w:p>
    <w:p w14:paraId="7C4F220D" w14:textId="4F305797" w:rsidR="00B357F9" w:rsidRDefault="00A551F9" w:rsidP="008E4384">
      <w:pPr>
        <w:spacing w:line="480" w:lineRule="auto"/>
      </w:pPr>
      <w:r>
        <w:tab/>
        <w:t>If an agency feels it is financially burden</w:t>
      </w:r>
      <w:r w:rsidR="00900232">
        <w:t>ed</w:t>
      </w:r>
      <w:r>
        <w:t xml:space="preserve"> by a fee waiver and a records custodian is expending extensive labor on requests, an agency could reduce the fee rather than waiving it </w:t>
      </w:r>
      <w:r>
        <w:lastRenderedPageBreak/>
        <w:t xml:space="preserve">entirely. In addition, an agency could charge a requester if the agency spends extensive time on multiple requests from the </w:t>
      </w:r>
      <w:r w:rsidR="00900232">
        <w:t xml:space="preserve">same </w:t>
      </w:r>
      <w:r>
        <w:t>requester within a specified period.</w:t>
      </w:r>
      <w:r>
        <w:rPr>
          <w:rStyle w:val="FootnoteReference"/>
        </w:rPr>
        <w:footnoteReference w:id="37"/>
      </w:r>
      <w:r>
        <w:t xml:space="preserve">  </w:t>
      </w:r>
    </w:p>
    <w:p w14:paraId="4743AF8B" w14:textId="310E5740" w:rsidR="009B0E89" w:rsidRDefault="00B357F9" w:rsidP="00A37159">
      <w:pPr>
        <w:spacing w:line="480" w:lineRule="auto"/>
      </w:pPr>
      <w:r>
        <w:tab/>
      </w:r>
      <w:r w:rsidR="00142716">
        <w:t>Alternatively</w:t>
      </w:r>
      <w:r>
        <w:t xml:space="preserve">, agencies could implement policies to reduce fees and make record requests more affordable for all requesters, regardless of their ability to pay. For instance, an agency could charge a fee only if the request takes at least </w:t>
      </w:r>
      <w:r w:rsidR="00900232">
        <w:t>one</w:t>
      </w:r>
      <w:r w:rsidR="00A551F9">
        <w:t xml:space="preserve">, two, or </w:t>
      </w:r>
      <w:r>
        <w:t xml:space="preserve">four hours – a practice in other states – rather than charging after fifteen or </w:t>
      </w:r>
      <w:r w:rsidR="00900232">
        <w:t>thirty</w:t>
      </w:r>
      <w:r>
        <w:t xml:space="preserve"> </w:t>
      </w:r>
      <w:r w:rsidR="00900232">
        <w:t>minutes</w:t>
      </w:r>
      <w:r>
        <w:t>.</w:t>
      </w:r>
      <w:r>
        <w:rPr>
          <w:rStyle w:val="FootnoteReference"/>
        </w:rPr>
        <w:footnoteReference w:id="38"/>
      </w:r>
      <w:r>
        <w:t xml:space="preserve"> Several states permit a custodian to charge </w:t>
      </w:r>
      <w:r w:rsidR="00900232">
        <w:t xml:space="preserve">only </w:t>
      </w:r>
      <w:r>
        <w:t>for the time spent redact</w:t>
      </w:r>
      <w:r w:rsidR="00A551F9">
        <w:t>ing</w:t>
      </w:r>
      <w:r>
        <w:t xml:space="preserve"> exempt information from a record and not for the time an attorney or employee spends determining whether the record is exempt from disclosure – a common charge in Florida.</w:t>
      </w:r>
      <w:r>
        <w:rPr>
          <w:rStyle w:val="FootnoteReference"/>
        </w:rPr>
        <w:footnoteReference w:id="39"/>
      </w:r>
      <w:r>
        <w:t xml:space="preserve"> Even without waiving fees, agencies could reduce the costs of records requests if made in the public interest</w:t>
      </w:r>
      <w:r w:rsidR="008E4384">
        <w:t xml:space="preserve"> by revising what is considered </w:t>
      </w:r>
      <w:r w:rsidR="00900232">
        <w:t>“</w:t>
      </w:r>
      <w:r w:rsidR="008E4384">
        <w:t>extensive</w:t>
      </w:r>
      <w:r w:rsidR="00900232">
        <w:t>”</w:t>
      </w:r>
      <w:r w:rsidR="008E4384">
        <w:t xml:space="preserve"> labor</w:t>
      </w:r>
      <w:r>
        <w:t>.</w:t>
      </w:r>
    </w:p>
    <w:p w14:paraId="72C67A51" w14:textId="0EED794F" w:rsidR="009B0E89" w:rsidRPr="008E4384" w:rsidRDefault="009B0E89">
      <w:pPr>
        <w:rPr>
          <w:b/>
          <w:bCs/>
        </w:rPr>
      </w:pPr>
      <w:r w:rsidRPr="008E4384">
        <w:rPr>
          <w:b/>
          <w:bCs/>
        </w:rPr>
        <w:t>Conclusion</w:t>
      </w:r>
    </w:p>
    <w:p w14:paraId="47537822" w14:textId="68347F2D" w:rsidR="00A551F9" w:rsidRDefault="00A551F9"/>
    <w:p w14:paraId="2ABFCA9E" w14:textId="06FCD40E" w:rsidR="00A551F9" w:rsidRDefault="00A551F9" w:rsidP="008E4384">
      <w:pPr>
        <w:spacing w:line="480" w:lineRule="auto"/>
      </w:pPr>
      <w:r>
        <w:tab/>
        <w:t xml:space="preserve">Public records are essential to oversight of state agencies. Florida lawmakers and voters considered access to public information critical and provided a right of access to records both in statute and in the state constitution. Despite the importance of public records and guarantees of access for every person, charges preclude many individuals from seeking public records. Only requesters with the resources </w:t>
      </w:r>
      <w:r w:rsidR="008E4384">
        <w:t xml:space="preserve">to </w:t>
      </w:r>
      <w:r>
        <w:t>pay thousands of dollars can exercise their constitutional right and access public records.</w:t>
      </w:r>
    </w:p>
    <w:p w14:paraId="2B40CDC1" w14:textId="46D98E02" w:rsidR="00A551F9" w:rsidRDefault="00A551F9" w:rsidP="008E4384">
      <w:pPr>
        <w:spacing w:line="480" w:lineRule="auto"/>
      </w:pPr>
      <w:r>
        <w:lastRenderedPageBreak/>
        <w:tab/>
        <w:t>This article was an attempt to build on research showing that cities would not be significantly affected by a fee waiver for records sought in the public interest</w:t>
      </w:r>
      <w:r w:rsidR="00E832BE">
        <w:t>, by analyzing data related to the impact of fee waivers on state agencies</w:t>
      </w:r>
      <w:r>
        <w:t xml:space="preserve">. While this is a limited sample, the findings are </w:t>
      </w:r>
      <w:r w:rsidR="008E4384">
        <w:t xml:space="preserve">mostly </w:t>
      </w:r>
      <w:r>
        <w:t xml:space="preserve">in line with previous </w:t>
      </w:r>
      <w:r w:rsidR="00E644DF">
        <w:t>research</w:t>
      </w:r>
      <w:r>
        <w:t xml:space="preserve">. Four of the agencies reviewed receive a majority of records requests from entities with commercial interests or individuals with personal interests in the records. When considering all requests made to four agencies, only twelve percent would be subject to a fee waiver. </w:t>
      </w:r>
    </w:p>
    <w:p w14:paraId="239C362C" w14:textId="51A746E4" w:rsidR="008E4384" w:rsidRDefault="008E4384" w:rsidP="008E4384">
      <w:pPr>
        <w:spacing w:line="480" w:lineRule="auto"/>
        <w:ind w:firstLine="720"/>
      </w:pPr>
      <w:r>
        <w:t xml:space="preserve">Waiving fees for requests made in the public interest ensures that information about the operations of government is available to the public and not limited </w:t>
      </w:r>
      <w:r w:rsidR="00900232">
        <w:t xml:space="preserve">by </w:t>
      </w:r>
      <w:r w:rsidR="00E644DF">
        <w:t xml:space="preserve">a requester’s </w:t>
      </w:r>
      <w:r w:rsidR="00900232">
        <w:t xml:space="preserve">ability </w:t>
      </w:r>
      <w:r>
        <w:t xml:space="preserve">to pay. A fee waiver, or changes to policies on special services charges, </w:t>
      </w:r>
      <w:r w:rsidR="00900232">
        <w:t xml:space="preserve">would </w:t>
      </w:r>
      <w:r>
        <w:t xml:space="preserve">ensure that reporters and nonprofit organizations with limited budgets are not denied access to information. </w:t>
      </w:r>
    </w:p>
    <w:p w14:paraId="75D431EB" w14:textId="47B870A1" w:rsidR="008E4384" w:rsidRDefault="00B60792" w:rsidP="008E4384">
      <w:pPr>
        <w:spacing w:line="480" w:lineRule="auto"/>
        <w:ind w:firstLine="720"/>
      </w:pPr>
      <w:r>
        <w:t xml:space="preserve">To further the purpose of the Public Records Law and make records available to every person, agencies should implement a fee waiver. </w:t>
      </w:r>
      <w:r w:rsidR="008E4384">
        <w:t xml:space="preserve">The Florida Public Records Act permits agencies to charge for extensive use of information technology resources or extensive clerical or supervisory assistance. </w:t>
      </w:r>
      <w:r w:rsidR="00900232">
        <w:t>N</w:t>
      </w:r>
      <w:r w:rsidR="008E4384">
        <w:t xml:space="preserve">othing </w:t>
      </w:r>
      <w:r w:rsidR="00900232">
        <w:t>prohibits</w:t>
      </w:r>
      <w:r w:rsidR="008E4384">
        <w:t xml:space="preserve"> agencies or municipalities from implementing a procedure to waive</w:t>
      </w:r>
      <w:r>
        <w:t xml:space="preserve"> or reduce fees. Agencies are free to adopt a fee waiver today.</w:t>
      </w:r>
    </w:p>
    <w:p w14:paraId="169D18BB" w14:textId="4301371B" w:rsidR="00A551F9" w:rsidRDefault="008E4384" w:rsidP="008E4384">
      <w:pPr>
        <w:spacing w:line="480" w:lineRule="auto"/>
        <w:ind w:firstLine="720"/>
      </w:pPr>
      <w:r>
        <w:t xml:space="preserve">Alternatively, the Florida legislature should amend the public records law </w:t>
      </w:r>
      <w:r w:rsidR="00A551F9">
        <w:t xml:space="preserve">to provide a definition of requests made in the public interest and </w:t>
      </w:r>
      <w:r>
        <w:t xml:space="preserve">a mechanism </w:t>
      </w:r>
      <w:r w:rsidR="00A551F9">
        <w:t xml:space="preserve">to waive or reduce fees for such requests. Legislation would create uniformity of the application of fee waivers across </w:t>
      </w:r>
      <w:r>
        <w:t>state</w:t>
      </w:r>
      <w:r w:rsidR="00A551F9">
        <w:t xml:space="preserve"> and local entities. </w:t>
      </w:r>
    </w:p>
    <w:p w14:paraId="615CFEA8" w14:textId="2C9A9096" w:rsidR="003117FC" w:rsidRPr="00090786" w:rsidRDefault="008E4384" w:rsidP="00E644DF">
      <w:pPr>
        <w:spacing w:line="480" w:lineRule="auto"/>
        <w:ind w:firstLine="720"/>
      </w:pPr>
      <w:r>
        <w:t>As evidenced throughout the coronavirus pandemic, a lack of information can cause distrust and confusion. Access to information leads to a more informed public. A fee waiver and, in turn, greater accessibility to public information can dispel shade in the Sunshine State.</w:t>
      </w:r>
    </w:p>
    <w:sectPr w:rsidR="003117FC" w:rsidRPr="00090786" w:rsidSect="00E644DF">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4A613" w14:textId="77777777" w:rsidR="00F243CC" w:rsidRDefault="00F243CC" w:rsidP="00BB79F4">
      <w:r>
        <w:separator/>
      </w:r>
    </w:p>
  </w:endnote>
  <w:endnote w:type="continuationSeparator" w:id="0">
    <w:p w14:paraId="74B77625" w14:textId="77777777" w:rsidR="00F243CC" w:rsidRDefault="00F243CC" w:rsidP="00BB7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99EEE" w14:textId="77777777" w:rsidR="00F243CC" w:rsidRDefault="00F243CC" w:rsidP="00BB79F4">
      <w:r>
        <w:separator/>
      </w:r>
    </w:p>
  </w:footnote>
  <w:footnote w:type="continuationSeparator" w:id="0">
    <w:p w14:paraId="25C1E883" w14:textId="77777777" w:rsidR="00F243CC" w:rsidRDefault="00F243CC" w:rsidP="00BB79F4">
      <w:r>
        <w:continuationSeparator/>
      </w:r>
    </w:p>
  </w:footnote>
  <w:footnote w:id="1">
    <w:p w14:paraId="52144A38" w14:textId="102F3988" w:rsidR="000971BF" w:rsidRDefault="000971BF" w:rsidP="00BB79F4">
      <w:pPr>
        <w:pStyle w:val="FootnoteText"/>
      </w:pPr>
      <w:r>
        <w:rPr>
          <w:rStyle w:val="FootnoteReference"/>
        </w:rPr>
        <w:footnoteRef/>
      </w:r>
      <w:r>
        <w:t xml:space="preserve"> Jenny </w:t>
      </w:r>
      <w:proofErr w:type="spellStart"/>
      <w:r>
        <w:t>Staletovich</w:t>
      </w:r>
      <w:proofErr w:type="spellEnd"/>
      <w:r>
        <w:t xml:space="preserve">, </w:t>
      </w:r>
      <w:r>
        <w:rPr>
          <w:i/>
        </w:rPr>
        <w:t>The High Cost of Sunshine: Public Records in Florida Can Cost More than a Year’s Salary</w:t>
      </w:r>
      <w:r>
        <w:t xml:space="preserve">, </w:t>
      </w:r>
      <w:r>
        <w:rPr>
          <w:smallCaps/>
        </w:rPr>
        <w:t>WLRN (</w:t>
      </w:r>
      <w:r>
        <w:t xml:space="preserve">Mar. 29, 2021, 6:00 AM), </w:t>
      </w:r>
      <w:hyperlink r:id="rId1" w:history="1">
        <w:r w:rsidRPr="00F5628D">
          <w:rPr>
            <w:rStyle w:val="Hyperlink"/>
          </w:rPr>
          <w:t>https://www.wlrn.org/local-news/2021-03-29/the-high-cost-of-sunshine-public-records-in-florida-can-cost-more-than-a-years-salary</w:t>
        </w:r>
      </w:hyperlink>
      <w:r>
        <w:t xml:space="preserve">. </w:t>
      </w:r>
    </w:p>
  </w:footnote>
  <w:footnote w:id="2">
    <w:p w14:paraId="7283F3B0" w14:textId="56779F7B" w:rsidR="000971BF" w:rsidRPr="00B46EAF" w:rsidRDefault="000971BF">
      <w:pPr>
        <w:pStyle w:val="FootnoteText"/>
      </w:pPr>
      <w:r>
        <w:rPr>
          <w:rStyle w:val="FootnoteReference"/>
        </w:rPr>
        <w:footnoteRef/>
      </w:r>
      <w:r>
        <w:t xml:space="preserve"> </w:t>
      </w:r>
      <w:r>
        <w:rPr>
          <w:i/>
        </w:rPr>
        <w:t>Id.</w:t>
      </w:r>
    </w:p>
  </w:footnote>
  <w:footnote w:id="3">
    <w:p w14:paraId="01C4AA96" w14:textId="1D515906" w:rsidR="000971BF" w:rsidRPr="00C648E4" w:rsidRDefault="000971BF">
      <w:pPr>
        <w:pStyle w:val="FootnoteText"/>
      </w:pPr>
      <w:r>
        <w:rPr>
          <w:rStyle w:val="FootnoteReference"/>
        </w:rPr>
        <w:footnoteRef/>
      </w:r>
      <w:r>
        <w:t xml:space="preserve"> </w:t>
      </w:r>
      <w:r>
        <w:rPr>
          <w:i/>
        </w:rPr>
        <w:t>Gov. DeSantis, Collier County: Take action NOW to protect Immokalee’s farmworkers from COVID-19 ahead of the harvest!</w:t>
      </w:r>
      <w:r>
        <w:t xml:space="preserve">, </w:t>
      </w:r>
      <w:r>
        <w:rPr>
          <w:smallCaps/>
        </w:rPr>
        <w:t xml:space="preserve">Coalition of Immokalee Workers </w:t>
      </w:r>
      <w:r>
        <w:t xml:space="preserve">(Sept. 3, 2020), </w:t>
      </w:r>
      <w:hyperlink r:id="rId2" w:history="1">
        <w:r w:rsidRPr="00F5628D">
          <w:rPr>
            <w:rStyle w:val="Hyperlink"/>
          </w:rPr>
          <w:t>https://ciw-online.org/blog/2020/09/gov-desantis-collier-county/</w:t>
        </w:r>
      </w:hyperlink>
      <w:r>
        <w:t xml:space="preserve">. </w:t>
      </w:r>
    </w:p>
  </w:footnote>
  <w:footnote w:id="4">
    <w:p w14:paraId="61B3B17A" w14:textId="0EFFB5FB" w:rsidR="000971BF" w:rsidRDefault="000971BF">
      <w:pPr>
        <w:pStyle w:val="FootnoteText"/>
      </w:pPr>
      <w:r>
        <w:rPr>
          <w:rStyle w:val="FootnoteReference"/>
        </w:rPr>
        <w:footnoteRef/>
      </w:r>
      <w:r>
        <w:t xml:space="preserve"> Emma </w:t>
      </w:r>
      <w:proofErr w:type="spellStart"/>
      <w:r>
        <w:t>Ockerman</w:t>
      </w:r>
      <w:proofErr w:type="spellEnd"/>
      <w:r>
        <w:t xml:space="preserve">, </w:t>
      </w:r>
      <w:r>
        <w:rPr>
          <w:i/>
        </w:rPr>
        <w:t>Florida Wants $17,000 to Release Documents About COVID-19 Vaccine Rollout</w:t>
      </w:r>
      <w:r>
        <w:t xml:space="preserve">, </w:t>
      </w:r>
      <w:r>
        <w:rPr>
          <w:smallCaps/>
        </w:rPr>
        <w:t>VICE News</w:t>
      </w:r>
      <w:r>
        <w:t xml:space="preserve"> (Jan. 5, 2021, 10:58 AM), </w:t>
      </w:r>
      <w:hyperlink r:id="rId3" w:history="1">
        <w:r w:rsidRPr="00364211">
          <w:rPr>
            <w:rStyle w:val="Hyperlink"/>
          </w:rPr>
          <w:t>https://www.vice.com/en/article/dy84dw/florida-wants-dollar17000-to-release-documents-about-covid-19-vaccine-rollout</w:t>
        </w:r>
      </w:hyperlink>
      <w:r>
        <w:t>.</w:t>
      </w:r>
    </w:p>
  </w:footnote>
  <w:footnote w:id="5">
    <w:p w14:paraId="2BEF5041" w14:textId="46F30DA2" w:rsidR="000971BF" w:rsidRPr="000971BF" w:rsidRDefault="000971BF">
      <w:pPr>
        <w:pStyle w:val="FootnoteText"/>
        <w:rPr>
          <w:smallCaps/>
        </w:rPr>
      </w:pPr>
      <w:r>
        <w:rPr>
          <w:rStyle w:val="FootnoteReference"/>
        </w:rPr>
        <w:footnoteRef/>
      </w:r>
      <w:r>
        <w:t xml:space="preserve"> </w:t>
      </w:r>
      <w:r>
        <w:rPr>
          <w:i/>
          <w:iCs/>
        </w:rPr>
        <w:t xml:space="preserve">See </w:t>
      </w:r>
      <w:r>
        <w:t xml:space="preserve">Mary </w:t>
      </w:r>
      <w:proofErr w:type="spellStart"/>
      <w:r>
        <w:t>Ellan</w:t>
      </w:r>
      <w:proofErr w:type="spellEnd"/>
      <w:r>
        <w:t xml:space="preserve"> </w:t>
      </w:r>
      <w:proofErr w:type="spellStart"/>
      <w:r>
        <w:t>Klas</w:t>
      </w:r>
      <w:proofErr w:type="spellEnd"/>
      <w:r>
        <w:t xml:space="preserve">, </w:t>
      </w:r>
      <w:r>
        <w:rPr>
          <w:i/>
          <w:iCs/>
        </w:rPr>
        <w:t>Timeline: Florida’s dark year for its Sunshine Law</w:t>
      </w:r>
      <w:r>
        <w:t xml:space="preserve">, </w:t>
      </w:r>
      <w:r>
        <w:rPr>
          <w:smallCaps/>
        </w:rPr>
        <w:t>Miami Herald</w:t>
      </w:r>
      <w:r>
        <w:t xml:space="preserve"> (Mar. 1, 2021, 4:17 PM), </w:t>
      </w:r>
      <w:hyperlink r:id="rId4" w:history="1">
        <w:r w:rsidRPr="00465C79">
          <w:rPr>
            <w:rStyle w:val="Hyperlink"/>
          </w:rPr>
          <w:t>https://www.miamiherald.com/news/politics-government/state-politics/article249587018.html</w:t>
        </w:r>
      </w:hyperlink>
      <w:r>
        <w:t xml:space="preserve">, Katie </w:t>
      </w:r>
      <w:proofErr w:type="spellStart"/>
      <w:r>
        <w:t>Santich</w:t>
      </w:r>
      <w:proofErr w:type="spellEnd"/>
      <w:r>
        <w:t xml:space="preserve">, </w:t>
      </w:r>
      <w:r>
        <w:rPr>
          <w:i/>
          <w:iCs/>
        </w:rPr>
        <w:t>Florida health officials agree to release variant data, pay attorney fees in Sentinel lawsuit</w:t>
      </w:r>
      <w:r>
        <w:t xml:space="preserve">, </w:t>
      </w:r>
      <w:r>
        <w:rPr>
          <w:smallCaps/>
        </w:rPr>
        <w:t>Orlando Sentinel (</w:t>
      </w:r>
      <w:r>
        <w:t xml:space="preserve">Apr. 21, 2021, 5:37 PM), </w:t>
      </w:r>
      <w:hyperlink r:id="rId5" w:history="1">
        <w:r w:rsidRPr="00465C79">
          <w:rPr>
            <w:rStyle w:val="Hyperlink"/>
          </w:rPr>
          <w:t>https://www.orlandosentinel.com/news/os-ne-florida-department-of-health-settles-sentinel-lawsuit-over-variant-data-20210421-i5byxgkkkrczfkelkmalhzjv2q-story.html</w:t>
        </w:r>
      </w:hyperlink>
      <w:r>
        <w:t>.</w:t>
      </w:r>
    </w:p>
  </w:footnote>
  <w:footnote w:id="6">
    <w:p w14:paraId="512ED9E2" w14:textId="7C8FA3A1" w:rsidR="000971BF" w:rsidRDefault="000971BF">
      <w:pPr>
        <w:pStyle w:val="FootnoteText"/>
      </w:pPr>
      <w:r>
        <w:rPr>
          <w:rStyle w:val="FootnoteReference"/>
        </w:rPr>
        <w:footnoteRef/>
      </w:r>
      <w:r>
        <w:t xml:space="preserve"> Email on file with author. </w:t>
      </w:r>
    </w:p>
  </w:footnote>
  <w:footnote w:id="7">
    <w:p w14:paraId="573FB6B9" w14:textId="1EC61FF0" w:rsidR="000971BF" w:rsidRDefault="000971BF">
      <w:pPr>
        <w:pStyle w:val="FootnoteText"/>
      </w:pPr>
      <w:r>
        <w:rPr>
          <w:rStyle w:val="FootnoteReference"/>
        </w:rPr>
        <w:footnoteRef/>
      </w:r>
      <w:r>
        <w:t xml:space="preserve"> Email on file with author. </w:t>
      </w:r>
    </w:p>
  </w:footnote>
  <w:footnote w:id="8">
    <w:p w14:paraId="0C7A722A" w14:textId="705712EF" w:rsidR="000971BF" w:rsidRDefault="000971BF">
      <w:pPr>
        <w:pStyle w:val="FootnoteText"/>
      </w:pPr>
      <w:r>
        <w:rPr>
          <w:rStyle w:val="FootnoteReference"/>
        </w:rPr>
        <w:footnoteRef/>
      </w:r>
      <w:r>
        <w:t xml:space="preserve"> Joshua Solomon, </w:t>
      </w:r>
      <w:r>
        <w:rPr>
          <w:i/>
          <w:iCs/>
        </w:rPr>
        <w:t>Portions of Alma Lee Loy Bridge in Vero Beach ‘unstable,’ but state wants thousands of for detailed records</w:t>
      </w:r>
      <w:r>
        <w:t xml:space="preserve">, </w:t>
      </w:r>
      <w:r>
        <w:rPr>
          <w:smallCaps/>
        </w:rPr>
        <w:t>TC Palm</w:t>
      </w:r>
      <w:r>
        <w:t>, (Apr. 7, 2021, 7:43 PM)</w:t>
      </w:r>
      <w:r>
        <w:rPr>
          <w:i/>
          <w:iCs/>
        </w:rPr>
        <w:t xml:space="preserve"> </w:t>
      </w:r>
      <w:hyperlink r:id="rId6" w:history="1">
        <w:r w:rsidRPr="00465C79">
          <w:rPr>
            <w:rStyle w:val="Hyperlink"/>
          </w:rPr>
          <w:t>https://www.tcpalm.com/story/news/local/2021/04/07/17th-street-alma-lee-loy-bridge-partly-unstable-fdot-says-its-safe/7068853002/</w:t>
        </w:r>
      </w:hyperlink>
      <w:r>
        <w:t xml:space="preserve">. </w:t>
      </w:r>
    </w:p>
  </w:footnote>
  <w:footnote w:id="9">
    <w:p w14:paraId="7E13609D" w14:textId="1B493BAE" w:rsidR="000971BF" w:rsidRPr="000971BF" w:rsidRDefault="000971BF">
      <w:pPr>
        <w:pStyle w:val="FootnoteText"/>
      </w:pPr>
      <w:r>
        <w:rPr>
          <w:rStyle w:val="FootnoteReference"/>
        </w:rPr>
        <w:footnoteRef/>
      </w:r>
      <w:r>
        <w:t xml:space="preserve"> Kelly Cox &amp; Matthew Haber, </w:t>
      </w:r>
      <w:r>
        <w:rPr>
          <w:i/>
          <w:iCs/>
        </w:rPr>
        <w:t xml:space="preserve">Does Freedom of Information Mean “Free”? How Hidden Costs of FOIA and Open Records Laws Impact the Public’s Ability to Request </w:t>
      </w:r>
      <w:proofErr w:type="spellStart"/>
      <w:r>
        <w:rPr>
          <w:i/>
          <w:iCs/>
        </w:rPr>
        <w:t>Governmet</w:t>
      </w:r>
      <w:proofErr w:type="spellEnd"/>
      <w:r>
        <w:rPr>
          <w:i/>
          <w:iCs/>
        </w:rPr>
        <w:t xml:space="preserve"> Documents</w:t>
      </w:r>
      <w:r>
        <w:t xml:space="preserve">, </w:t>
      </w:r>
      <w:r>
        <w:rPr>
          <w:smallCaps/>
        </w:rPr>
        <w:t xml:space="preserve">N.Y.U J. Legis. &amp; Pub. </w:t>
      </w:r>
      <w:proofErr w:type="spellStart"/>
      <w:r>
        <w:rPr>
          <w:smallCaps/>
        </w:rPr>
        <w:t>Pol’y</w:t>
      </w:r>
      <w:proofErr w:type="spellEnd"/>
      <w:r>
        <w:rPr>
          <w:smallCaps/>
        </w:rPr>
        <w:t xml:space="preserve"> Quorum </w:t>
      </w:r>
      <w:r>
        <w:t xml:space="preserve">(2020). </w:t>
      </w:r>
    </w:p>
  </w:footnote>
  <w:footnote w:id="10">
    <w:p w14:paraId="59B11966" w14:textId="6B5B2F20" w:rsidR="000971BF" w:rsidRPr="000971BF" w:rsidRDefault="000971BF">
      <w:pPr>
        <w:pStyle w:val="FootnoteText"/>
      </w:pPr>
      <w:r>
        <w:rPr>
          <w:rStyle w:val="FootnoteReference"/>
        </w:rPr>
        <w:footnoteRef/>
      </w:r>
      <w:r>
        <w:t xml:space="preserve"> </w:t>
      </w:r>
      <w:r>
        <w:rPr>
          <w:i/>
          <w:iCs/>
        </w:rPr>
        <w:t xml:space="preserve">Id. </w:t>
      </w:r>
    </w:p>
  </w:footnote>
  <w:footnote w:id="11">
    <w:p w14:paraId="08AB049B" w14:textId="227A718D" w:rsidR="00A551F9" w:rsidRPr="00A551F9" w:rsidRDefault="00A551F9">
      <w:pPr>
        <w:pStyle w:val="FootnoteText"/>
      </w:pPr>
      <w:r>
        <w:rPr>
          <w:rStyle w:val="FootnoteReference"/>
        </w:rPr>
        <w:footnoteRef/>
      </w:r>
      <w:r>
        <w:t xml:space="preserve"> In re Report &amp; Recommendations of Judicial Mgmt. Council of Fla. on Privacy &amp; Elec. Access to Court Records, 823 So. 2d 712, 713 (Fla. 2002). </w:t>
      </w:r>
    </w:p>
  </w:footnote>
  <w:footnote w:id="12">
    <w:p w14:paraId="0556F00B" w14:textId="45926FC8" w:rsidR="00A551F9" w:rsidRDefault="00A551F9">
      <w:pPr>
        <w:pStyle w:val="FootnoteText"/>
      </w:pPr>
      <w:r>
        <w:rPr>
          <w:rStyle w:val="FootnoteReference"/>
        </w:rPr>
        <w:footnoteRef/>
      </w:r>
      <w:r>
        <w:t xml:space="preserve"> </w:t>
      </w:r>
      <w:r w:rsidRPr="004F72CB">
        <w:rPr>
          <w:smallCaps/>
        </w:rPr>
        <w:t>Fla. Const</w:t>
      </w:r>
      <w:r>
        <w:t xml:space="preserve">. </w:t>
      </w:r>
      <w:r w:rsidR="004F72CB">
        <w:t>a</w:t>
      </w:r>
      <w:r>
        <w:t xml:space="preserve">rt. I, § 24(a). </w:t>
      </w:r>
    </w:p>
  </w:footnote>
  <w:footnote w:id="13">
    <w:p w14:paraId="394838B5" w14:textId="1A9A18F9" w:rsidR="00A551F9" w:rsidRDefault="00A551F9">
      <w:pPr>
        <w:pStyle w:val="FootnoteText"/>
      </w:pPr>
      <w:r>
        <w:rPr>
          <w:rStyle w:val="FootnoteReference"/>
        </w:rPr>
        <w:footnoteRef/>
      </w:r>
      <w:r>
        <w:t xml:space="preserve"> </w:t>
      </w:r>
      <w:r w:rsidR="00EA48BD">
        <w:t xml:space="preserve">Carol </w:t>
      </w:r>
      <w:proofErr w:type="spellStart"/>
      <w:r w:rsidR="00EA48BD">
        <w:t>Marbin</w:t>
      </w:r>
      <w:proofErr w:type="spellEnd"/>
      <w:r w:rsidR="00EA48BD">
        <w:t xml:space="preserve"> Miller &amp; Daniel Chang, </w:t>
      </w:r>
      <w:r w:rsidR="00EA48BD">
        <w:rPr>
          <w:i/>
          <w:iCs/>
        </w:rPr>
        <w:t xml:space="preserve">When Births Go Horribly Wrong, Florida Protects Doctors and Forces </w:t>
      </w:r>
      <w:r w:rsidR="004F72CB">
        <w:rPr>
          <w:i/>
          <w:iCs/>
        </w:rPr>
        <w:t>Families</w:t>
      </w:r>
      <w:r w:rsidR="00EA48BD">
        <w:rPr>
          <w:i/>
          <w:iCs/>
        </w:rPr>
        <w:t xml:space="preserve"> to Pay the Price</w:t>
      </w:r>
      <w:r w:rsidR="00EA48BD">
        <w:t xml:space="preserve">, </w:t>
      </w:r>
      <w:r w:rsidR="00EA48BD">
        <w:rPr>
          <w:smallCaps/>
        </w:rPr>
        <w:t>ProPublica (</w:t>
      </w:r>
      <w:r w:rsidR="00EA48BD">
        <w:t>Apr. 8, 2021 9 AM).</w:t>
      </w:r>
      <w:r w:rsidR="00EA48BD">
        <w:rPr>
          <w:i/>
          <w:iCs/>
        </w:rPr>
        <w:t xml:space="preserve"> </w:t>
      </w:r>
      <w:hyperlink r:id="rId7" w:history="1">
        <w:r w:rsidR="00EA48BD" w:rsidRPr="00E64BD2">
          <w:rPr>
            <w:rStyle w:val="Hyperlink"/>
          </w:rPr>
          <w:t>https://www.propublica.org/article/when-births-go-horribly-wrong-florida-protects-doctors-and-forces-families-to-pay-the-price</w:t>
        </w:r>
      </w:hyperlink>
      <w:r>
        <w:t xml:space="preserve">. </w:t>
      </w:r>
    </w:p>
  </w:footnote>
  <w:footnote w:id="14">
    <w:p w14:paraId="7DA97CE0" w14:textId="7C25BC15" w:rsidR="00A551F9" w:rsidRDefault="00A551F9">
      <w:pPr>
        <w:pStyle w:val="FootnoteText"/>
      </w:pPr>
      <w:r>
        <w:rPr>
          <w:rStyle w:val="FootnoteReference"/>
        </w:rPr>
        <w:footnoteRef/>
      </w:r>
      <w:r>
        <w:t xml:space="preserve"> </w:t>
      </w:r>
      <w:r w:rsidR="00EA48BD">
        <w:t xml:space="preserve">Carol </w:t>
      </w:r>
      <w:proofErr w:type="spellStart"/>
      <w:r w:rsidR="00EA48BD">
        <w:t>Marbin</w:t>
      </w:r>
      <w:proofErr w:type="spellEnd"/>
      <w:r w:rsidR="00EA48BD">
        <w:t xml:space="preserve"> Miller &amp; Daniel Chang, </w:t>
      </w:r>
      <w:r w:rsidR="00EA48BD">
        <w:rPr>
          <w:i/>
          <w:iCs/>
        </w:rPr>
        <w:t>DeSantis signs into law bill overhauling safety net for families with brain-damaged babies</w:t>
      </w:r>
      <w:r w:rsidR="00EA48BD">
        <w:t xml:space="preserve">, </w:t>
      </w:r>
      <w:r w:rsidR="00EA48BD">
        <w:rPr>
          <w:smallCaps/>
        </w:rPr>
        <w:t>Miami Herald</w:t>
      </w:r>
      <w:r w:rsidR="00EA48BD">
        <w:t xml:space="preserve"> (</w:t>
      </w:r>
      <w:r w:rsidR="00EA48BD">
        <w:rPr>
          <w:smallCaps/>
        </w:rPr>
        <w:t>J</w:t>
      </w:r>
      <w:r w:rsidR="00EA48BD">
        <w:t>une 22, 2021 7:05 PM)</w:t>
      </w:r>
      <w:r w:rsidR="004F72CB">
        <w:t>.</w:t>
      </w:r>
      <w:r w:rsidR="00EA48BD">
        <w:t xml:space="preserve"> </w:t>
      </w:r>
      <w:hyperlink r:id="rId8" w:history="1">
        <w:r w:rsidR="00EA48BD" w:rsidRPr="00E64BD2">
          <w:rPr>
            <w:rStyle w:val="Hyperlink"/>
          </w:rPr>
          <w:t>https://www.miamiherald.com/news/state/florida/article252283013.html</w:t>
        </w:r>
      </w:hyperlink>
      <w:r>
        <w:t xml:space="preserve">. </w:t>
      </w:r>
    </w:p>
  </w:footnote>
  <w:footnote w:id="15">
    <w:p w14:paraId="730D0A23" w14:textId="6CCA0328" w:rsidR="00A551F9" w:rsidRDefault="00A551F9">
      <w:pPr>
        <w:pStyle w:val="FootnoteText"/>
      </w:pPr>
      <w:r>
        <w:rPr>
          <w:rStyle w:val="FootnoteReference"/>
        </w:rPr>
        <w:footnoteRef/>
      </w:r>
      <w:r>
        <w:t xml:space="preserve"> </w:t>
      </w:r>
      <w:r w:rsidR="001F2372">
        <w:t xml:space="preserve">Sarah </w:t>
      </w:r>
      <w:proofErr w:type="spellStart"/>
      <w:r w:rsidR="001F2372">
        <w:t>Blaskey</w:t>
      </w:r>
      <w:proofErr w:type="spellEnd"/>
      <w:r w:rsidR="001F2372">
        <w:t xml:space="preserve"> &amp; Aaron Leibowitz, </w:t>
      </w:r>
      <w:r w:rsidR="001F2372">
        <w:rPr>
          <w:i/>
          <w:iCs/>
        </w:rPr>
        <w:t>‘Major error’ was flagged in 2018 inspection report of collapsed building near Miami Beach</w:t>
      </w:r>
      <w:r w:rsidR="001F2372">
        <w:t>,</w:t>
      </w:r>
      <w:r w:rsidR="001F2372">
        <w:rPr>
          <w:i/>
          <w:iCs/>
        </w:rPr>
        <w:t xml:space="preserve"> </w:t>
      </w:r>
      <w:r w:rsidR="001F2372">
        <w:rPr>
          <w:smallCaps/>
        </w:rPr>
        <w:t>Miami Herald</w:t>
      </w:r>
      <w:r w:rsidR="001F2372">
        <w:t xml:space="preserve"> (July 07, 2021, 3:59 PM)</w:t>
      </w:r>
      <w:r w:rsidR="004F72CB">
        <w:t>.</w:t>
      </w:r>
      <w:r w:rsidR="001F2372">
        <w:t xml:space="preserve"> </w:t>
      </w:r>
      <w:hyperlink r:id="rId9" w:history="1">
        <w:r w:rsidR="001F2372" w:rsidRPr="00E64BD2">
          <w:rPr>
            <w:rStyle w:val="Hyperlink"/>
          </w:rPr>
          <w:t>https://www.miamiherald.com/news/local/community/miami-dade/miami-beach/article252385083.html</w:t>
        </w:r>
      </w:hyperlink>
      <w:r w:rsidR="001F2372">
        <w:t xml:space="preserve">. </w:t>
      </w:r>
    </w:p>
  </w:footnote>
  <w:footnote w:id="16">
    <w:p w14:paraId="4EE5D25C" w14:textId="25FAA2A4" w:rsidR="00090786" w:rsidRDefault="00090786">
      <w:pPr>
        <w:pStyle w:val="FootnoteText"/>
      </w:pPr>
      <w:r>
        <w:rPr>
          <w:rStyle w:val="FootnoteReference"/>
        </w:rPr>
        <w:footnoteRef/>
      </w:r>
      <w:r>
        <w:t xml:space="preserve"> </w:t>
      </w:r>
      <w:r w:rsidRPr="004F72CB">
        <w:rPr>
          <w:smallCaps/>
        </w:rPr>
        <w:t>Fla. Stat</w:t>
      </w:r>
      <w:r>
        <w:t>. § 119.07(4)(a).</w:t>
      </w:r>
    </w:p>
  </w:footnote>
  <w:footnote w:id="17">
    <w:p w14:paraId="3081716B" w14:textId="2AFAA5FA" w:rsidR="00090786" w:rsidRDefault="00090786">
      <w:pPr>
        <w:pStyle w:val="FootnoteText"/>
      </w:pPr>
      <w:r>
        <w:rPr>
          <w:rStyle w:val="FootnoteReference"/>
        </w:rPr>
        <w:footnoteRef/>
      </w:r>
      <w:r>
        <w:t xml:space="preserve"> </w:t>
      </w:r>
      <w:r w:rsidRPr="004F72CB">
        <w:rPr>
          <w:smallCaps/>
        </w:rPr>
        <w:t>Fla. Stat.</w:t>
      </w:r>
      <w:r>
        <w:t xml:space="preserve"> § 119.07(4)(a)1.</w:t>
      </w:r>
    </w:p>
  </w:footnote>
  <w:footnote w:id="18">
    <w:p w14:paraId="20B253DE" w14:textId="2701A0B3" w:rsidR="00090786" w:rsidRDefault="00090786">
      <w:pPr>
        <w:pStyle w:val="FootnoteText"/>
      </w:pPr>
      <w:r>
        <w:rPr>
          <w:rStyle w:val="FootnoteReference"/>
        </w:rPr>
        <w:footnoteRef/>
      </w:r>
      <w:r>
        <w:t xml:space="preserve"> </w:t>
      </w:r>
      <w:r w:rsidRPr="004F72CB">
        <w:rPr>
          <w:smallCaps/>
        </w:rPr>
        <w:t>Fla. Stat.</w:t>
      </w:r>
      <w:r>
        <w:t xml:space="preserve"> § 119.07(4)(b).</w:t>
      </w:r>
    </w:p>
  </w:footnote>
  <w:footnote w:id="19">
    <w:p w14:paraId="6D93D7AB" w14:textId="1C023C09" w:rsidR="00090786" w:rsidRDefault="00090786" w:rsidP="00090786">
      <w:pPr>
        <w:pStyle w:val="EndnoteText"/>
      </w:pPr>
      <w:r>
        <w:rPr>
          <w:rStyle w:val="FootnoteReference"/>
        </w:rPr>
        <w:footnoteRef/>
      </w:r>
      <w:r>
        <w:t xml:space="preserve"> </w:t>
      </w:r>
      <w:r w:rsidRPr="004F72CB">
        <w:rPr>
          <w:smallCaps/>
        </w:rPr>
        <w:t>Fla. Stat.</w:t>
      </w:r>
      <w:r>
        <w:t xml:space="preserve"> § 119.07(4)(d). </w:t>
      </w:r>
    </w:p>
  </w:footnote>
  <w:footnote w:id="20">
    <w:p w14:paraId="1764F75C" w14:textId="73A97E74" w:rsidR="00090786" w:rsidRDefault="00090786">
      <w:pPr>
        <w:pStyle w:val="FootnoteText"/>
      </w:pPr>
      <w:r>
        <w:rPr>
          <w:rStyle w:val="FootnoteReference"/>
        </w:rPr>
        <w:footnoteRef/>
      </w:r>
      <w:r>
        <w:t xml:space="preserve"> For example, in response to public records requests for agency’s public records policies, the Florida Department of Health provided a document stating that a special service charge will be charged for work exceeding fifteen minutes. The </w:t>
      </w:r>
      <w:r w:rsidR="00A551F9">
        <w:t xml:space="preserve">Agency for Health Care Administration, Department of Lottery, and </w:t>
      </w:r>
      <w:r>
        <w:t xml:space="preserve">Executive Office of the Governor </w:t>
      </w:r>
      <w:r w:rsidR="004F72CB">
        <w:t xml:space="preserve">each </w:t>
      </w:r>
      <w:r>
        <w:t xml:space="preserve">charge fees after thirty minutes of labor. The Florida Department of Agriculture and Consumer Services defines extensive labor as more than two hours spent to respond to a request.  </w:t>
      </w:r>
    </w:p>
  </w:footnote>
  <w:footnote w:id="21">
    <w:p w14:paraId="3A4A41C7" w14:textId="43A0AEE9" w:rsidR="00090786" w:rsidRDefault="00090786">
      <w:pPr>
        <w:pStyle w:val="FootnoteText"/>
      </w:pPr>
      <w:r>
        <w:rPr>
          <w:rStyle w:val="FootnoteReference"/>
        </w:rPr>
        <w:footnoteRef/>
      </w:r>
      <w:r>
        <w:t xml:space="preserve"> </w:t>
      </w:r>
      <w:r w:rsidR="004F72CB">
        <w:t>19</w:t>
      </w:r>
      <w:r>
        <w:t>85-03</w:t>
      </w:r>
      <w:r w:rsidR="004F72CB">
        <w:t xml:space="preserve"> Fla. Op. </w:t>
      </w:r>
      <w:proofErr w:type="spellStart"/>
      <w:r w:rsidR="004F72CB">
        <w:t>Att’y</w:t>
      </w:r>
      <w:proofErr w:type="spellEnd"/>
      <w:r w:rsidR="004F72CB">
        <w:t xml:space="preserve"> Gen. (1985)</w:t>
      </w:r>
      <w:r>
        <w:t xml:space="preserve">. </w:t>
      </w:r>
    </w:p>
  </w:footnote>
  <w:footnote w:id="22">
    <w:p w14:paraId="09797EA3" w14:textId="7B2500DC" w:rsidR="00090786" w:rsidRDefault="00090786">
      <w:pPr>
        <w:pStyle w:val="FootnoteText"/>
      </w:pPr>
      <w:r>
        <w:rPr>
          <w:rStyle w:val="FootnoteReference"/>
        </w:rPr>
        <w:footnoteRef/>
      </w:r>
      <w:r>
        <w:t xml:space="preserve"> Bd. </w:t>
      </w:r>
      <w:r w:rsidR="004F72CB">
        <w:t>o</w:t>
      </w:r>
      <w:r>
        <w:t xml:space="preserve">f </w:t>
      </w:r>
      <w:r w:rsidR="004F72CB">
        <w:t>Tr.</w:t>
      </w:r>
      <w:r>
        <w:t>, Jacksonville Police &amp; Pension Fund v. Lee, 189 So. 3d 120, 129 (Fla. 2016).</w:t>
      </w:r>
    </w:p>
  </w:footnote>
  <w:footnote w:id="23">
    <w:p w14:paraId="7665860C" w14:textId="58014AD5" w:rsidR="00090786" w:rsidRDefault="00090786">
      <w:pPr>
        <w:pStyle w:val="FootnoteText"/>
      </w:pPr>
      <w:r>
        <w:rPr>
          <w:rStyle w:val="FootnoteReference"/>
        </w:rPr>
        <w:footnoteRef/>
      </w:r>
      <w:r>
        <w:t xml:space="preserve"> </w:t>
      </w:r>
      <w:r>
        <w:rPr>
          <w:i/>
          <w:iCs/>
        </w:rPr>
        <w:t xml:space="preserve">See </w:t>
      </w:r>
      <w:r>
        <w:t xml:space="preserve">N. </w:t>
      </w:r>
      <w:proofErr w:type="spellStart"/>
      <w:r>
        <w:t>Cty</w:t>
      </w:r>
      <w:proofErr w:type="spellEnd"/>
      <w:r>
        <w:t>. Parents Org. v. Dep’t of Educ., 2</w:t>
      </w:r>
      <w:r w:rsidR="004F72CB">
        <w:t>8</w:t>
      </w:r>
      <w:r>
        <w:t xml:space="preserve"> Cal</w:t>
      </w:r>
      <w:r w:rsidR="004F72CB">
        <w:t xml:space="preserve">. </w:t>
      </w:r>
      <w:proofErr w:type="spellStart"/>
      <w:r w:rsidR="004F72CB">
        <w:t>Rptr</w:t>
      </w:r>
      <w:proofErr w:type="spellEnd"/>
      <w:r w:rsidR="004F72CB">
        <w:t xml:space="preserve">. 359 </w:t>
      </w:r>
      <w:r>
        <w:t>(</w:t>
      </w:r>
      <w:r w:rsidR="004F72CB">
        <w:t xml:space="preserve">Cal. Ct. App. </w:t>
      </w:r>
      <w:r>
        <w:t>1994).</w:t>
      </w:r>
    </w:p>
  </w:footnote>
  <w:footnote w:id="24">
    <w:p w14:paraId="691F1E79" w14:textId="01C2CC80" w:rsidR="00C814B3" w:rsidRDefault="00C814B3">
      <w:pPr>
        <w:pStyle w:val="FootnoteText"/>
      </w:pPr>
      <w:r>
        <w:rPr>
          <w:rStyle w:val="FootnoteReference"/>
        </w:rPr>
        <w:footnoteRef/>
      </w:r>
      <w:r>
        <w:t xml:space="preserve"> 5 U.S. § 552(a)(4)(A)(ii)(I).</w:t>
      </w:r>
    </w:p>
  </w:footnote>
  <w:footnote w:id="25">
    <w:p w14:paraId="3E103CA1" w14:textId="4A4FE147" w:rsidR="00C814B3" w:rsidRDefault="00C814B3">
      <w:pPr>
        <w:pStyle w:val="FootnoteText"/>
      </w:pPr>
      <w:r>
        <w:rPr>
          <w:rStyle w:val="FootnoteReference"/>
        </w:rPr>
        <w:footnoteRef/>
      </w:r>
      <w:r>
        <w:t xml:space="preserve"> 5 U.S. § 552(a)(4)(A)(ii)(II).</w:t>
      </w:r>
    </w:p>
  </w:footnote>
  <w:footnote w:id="26">
    <w:p w14:paraId="18B7B809" w14:textId="7B6D313A" w:rsidR="00C814B3" w:rsidRPr="00C814B3" w:rsidRDefault="00C814B3" w:rsidP="00C814B3">
      <w:pPr>
        <w:pStyle w:val="FootnoteText"/>
      </w:pPr>
      <w:r>
        <w:rPr>
          <w:rStyle w:val="FootnoteReference"/>
        </w:rPr>
        <w:footnoteRef/>
      </w:r>
      <w:r>
        <w:t xml:space="preserve"> </w:t>
      </w:r>
      <w:r>
        <w:rPr>
          <w:i/>
          <w:iCs/>
        </w:rPr>
        <w:t xml:space="preserve">See e.g. </w:t>
      </w:r>
      <w:r w:rsidR="004F72CB">
        <w:t xml:space="preserve">5 </w:t>
      </w:r>
      <w:r w:rsidR="004F72CB" w:rsidRPr="004F72CB">
        <w:rPr>
          <w:smallCaps/>
        </w:rPr>
        <w:t>Ill. Comp. Stat.</w:t>
      </w:r>
      <w:r w:rsidR="004F72CB">
        <w:t xml:space="preserve"> 140/6(c) (2020)</w:t>
      </w:r>
      <w:r>
        <w:t xml:space="preserve">, </w:t>
      </w:r>
      <w:r w:rsidR="004F72CB">
        <w:t>1 M.R.S. § 408-</w:t>
      </w:r>
      <w:proofErr w:type="gramStart"/>
      <w:r w:rsidR="004F72CB">
        <w:t>A(</w:t>
      </w:r>
      <w:proofErr w:type="gramEnd"/>
      <w:r w:rsidR="004F72CB">
        <w:t>11),</w:t>
      </w:r>
      <w:r>
        <w:t xml:space="preserve"> </w:t>
      </w:r>
      <w:r w:rsidR="004F72CB">
        <w:rPr>
          <w:smallCaps/>
        </w:rPr>
        <w:t xml:space="preserve">S.C. Code Ann. § 30-4-30(B). </w:t>
      </w:r>
    </w:p>
  </w:footnote>
  <w:footnote w:id="27">
    <w:p w14:paraId="56BE84B5" w14:textId="2643F33D" w:rsidR="00C814B3" w:rsidRDefault="00C814B3">
      <w:pPr>
        <w:pStyle w:val="FootnoteText"/>
      </w:pPr>
      <w:r>
        <w:rPr>
          <w:rStyle w:val="FootnoteReference"/>
        </w:rPr>
        <w:footnoteRef/>
      </w:r>
      <w:r>
        <w:t xml:space="preserve"> 5 U.S. § 552(a)(4)(A)(iii)(I).</w:t>
      </w:r>
    </w:p>
  </w:footnote>
  <w:footnote w:id="28">
    <w:p w14:paraId="6C13B3BD" w14:textId="775B8BE0" w:rsidR="00A551F9" w:rsidRDefault="00A551F9" w:rsidP="00A551F9">
      <w:pPr>
        <w:pStyle w:val="EndnoteText"/>
      </w:pPr>
      <w:r>
        <w:rPr>
          <w:rStyle w:val="FootnoteReference"/>
        </w:rPr>
        <w:footnoteRef/>
      </w:r>
      <w:r>
        <w:t xml:space="preserve"> </w:t>
      </w:r>
      <w:r>
        <w:rPr>
          <w:i/>
          <w:iCs w:val="0"/>
        </w:rPr>
        <w:t xml:space="preserve">See </w:t>
      </w:r>
      <w:r w:rsidR="004F72CB">
        <w:t>Ctr.</w:t>
      </w:r>
      <w:r>
        <w:t xml:space="preserve"> of Medicare Advocacy, Inc. v. U</w:t>
      </w:r>
      <w:r w:rsidR="004F72CB">
        <w:t xml:space="preserve">.S. </w:t>
      </w:r>
      <w:r>
        <w:t xml:space="preserve">HHS, 557 F. Supp. 2d 221, 239 (D.C.C. 2008). </w:t>
      </w:r>
    </w:p>
  </w:footnote>
  <w:footnote w:id="29">
    <w:p w14:paraId="7FBA65B9" w14:textId="76E7C954" w:rsidR="00C814B3" w:rsidRDefault="00C814B3">
      <w:pPr>
        <w:pStyle w:val="FootnoteText"/>
      </w:pPr>
      <w:r>
        <w:rPr>
          <w:rStyle w:val="FootnoteReference"/>
        </w:rPr>
        <w:footnoteRef/>
      </w:r>
      <w:r>
        <w:t xml:space="preserve"> </w:t>
      </w:r>
      <w:r w:rsidR="00246F1B">
        <w:rPr>
          <w:i/>
          <w:iCs/>
        </w:rPr>
        <w:t>See</w:t>
      </w:r>
      <w:r w:rsidR="004F72CB">
        <w:rPr>
          <w:i/>
          <w:iCs/>
        </w:rPr>
        <w:t>,</w:t>
      </w:r>
      <w:r w:rsidR="00246F1B">
        <w:rPr>
          <w:i/>
          <w:iCs/>
        </w:rPr>
        <w:t xml:space="preserve"> e.g., </w:t>
      </w:r>
      <w:r w:rsidR="00246F1B">
        <w:rPr>
          <w:smallCaps/>
        </w:rPr>
        <w:t>Haw. Code R. § 2-71-32(</w:t>
      </w:r>
      <w:r w:rsidR="00246F1B">
        <w:t>b)</w:t>
      </w:r>
      <w:r w:rsidR="00246F1B">
        <w:rPr>
          <w:smallCaps/>
        </w:rPr>
        <w:t xml:space="preserve"> (“</w:t>
      </w:r>
      <w:r w:rsidR="00246F1B" w:rsidRPr="00246F1B">
        <w:t>A waiver of fees is in the public interest when: the requested record pertains to the operation or activities of an agency…the requester has the primary intention and actual ability to widely disseminate information from the government record to the general public</w:t>
      </w:r>
      <w:r w:rsidR="00246F1B">
        <w:rPr>
          <w:smallCaps/>
        </w:rPr>
        <w:t xml:space="preserve"> </w:t>
      </w:r>
      <w:r w:rsidR="00246F1B">
        <w:t>at large.”)</w:t>
      </w:r>
      <w:r w:rsidR="004F72CB">
        <w:t>;</w:t>
      </w:r>
      <w:r>
        <w:rPr>
          <w:i/>
          <w:iCs/>
        </w:rPr>
        <w:t xml:space="preserve"> In Def</w:t>
      </w:r>
      <w:r w:rsidR="004F72CB">
        <w:rPr>
          <w:i/>
          <w:iCs/>
        </w:rPr>
        <w:t>.</w:t>
      </w:r>
      <w:r>
        <w:rPr>
          <w:i/>
          <w:iCs/>
        </w:rPr>
        <w:t xml:space="preserve"> of Animals v. </w:t>
      </w:r>
      <w:r w:rsidR="004F72CB">
        <w:rPr>
          <w:i/>
          <w:iCs/>
        </w:rPr>
        <w:t>Or.</w:t>
      </w:r>
      <w:r>
        <w:rPr>
          <w:i/>
          <w:iCs/>
        </w:rPr>
        <w:t xml:space="preserve"> Health Sciences Univ.</w:t>
      </w:r>
      <w:r>
        <w:t>, 112 P.3d 336</w:t>
      </w:r>
      <w:r w:rsidR="00DA201D">
        <w:t xml:space="preserve">, 354 </w:t>
      </w:r>
      <w:r>
        <w:t>(Or. Ct. App 2005)</w:t>
      </w:r>
      <w:r w:rsidR="00457B51">
        <w:t xml:space="preserve"> (</w:t>
      </w:r>
      <w:r w:rsidR="00DA201D">
        <w:t xml:space="preserve">“Thus, a waiver or reduction of fees </w:t>
      </w:r>
      <w:r w:rsidR="004F72CB">
        <w:t>‘</w:t>
      </w:r>
      <w:r w:rsidR="00DA201D">
        <w:t>in in the public interest because making the record available primarily benefits the general public</w:t>
      </w:r>
      <w:r w:rsidR="004F72CB">
        <w:t>’</w:t>
      </w:r>
      <w:r w:rsidR="00DA201D">
        <w:t>… when furnishing the record has utility – indeed, its greatest utility to the community or society as a whole.”)</w:t>
      </w:r>
    </w:p>
  </w:footnote>
  <w:footnote w:id="30">
    <w:p w14:paraId="5B6D25DF" w14:textId="3DFB9560" w:rsidR="00C814B3" w:rsidRDefault="00C814B3">
      <w:pPr>
        <w:pStyle w:val="FootnoteText"/>
      </w:pPr>
      <w:r>
        <w:rPr>
          <w:rStyle w:val="FootnoteReference"/>
        </w:rPr>
        <w:footnoteRef/>
      </w:r>
      <w:r>
        <w:t xml:space="preserve"> 5 </w:t>
      </w:r>
      <w:r w:rsidRPr="004F72CB">
        <w:rPr>
          <w:smallCaps/>
        </w:rPr>
        <w:t>Ill. Comp. Stat.</w:t>
      </w:r>
      <w:r>
        <w:t xml:space="preserve"> 140/6(c) (2020). </w:t>
      </w:r>
    </w:p>
  </w:footnote>
  <w:footnote w:id="31">
    <w:p w14:paraId="44757897" w14:textId="0E4490F0" w:rsidR="00450032" w:rsidRDefault="00450032" w:rsidP="00450032">
      <w:pPr>
        <w:pStyle w:val="EndnoteText"/>
      </w:pPr>
      <w:r>
        <w:rPr>
          <w:rStyle w:val="FootnoteReference"/>
        </w:rPr>
        <w:footnoteRef/>
      </w:r>
      <w:r>
        <w:t xml:space="preserve"> </w:t>
      </w:r>
      <w:r w:rsidRPr="00246F1B">
        <w:rPr>
          <w:smallCaps/>
        </w:rPr>
        <w:t>Colo. Rev. Stat</w:t>
      </w:r>
      <w:r>
        <w:t xml:space="preserve">. § 24-72-205(4). </w:t>
      </w:r>
      <w:r>
        <w:rPr>
          <w:i/>
          <w:iCs w:val="0"/>
        </w:rPr>
        <w:t xml:space="preserve">See also, </w:t>
      </w:r>
      <w:r>
        <w:t xml:space="preserve">51 </w:t>
      </w:r>
      <w:proofErr w:type="spellStart"/>
      <w:r w:rsidRPr="00246F1B">
        <w:rPr>
          <w:smallCaps/>
        </w:rPr>
        <w:t>Okl</w:t>
      </w:r>
      <w:proofErr w:type="spellEnd"/>
      <w:r w:rsidRPr="00246F1B">
        <w:rPr>
          <w:smallCaps/>
        </w:rPr>
        <w:t>. Stat</w:t>
      </w:r>
      <w:r>
        <w:t xml:space="preserve">. § 24A.5 (“In no case shall a search fee be charged when the release of records is in the public interest, including, but not limited to, release to the news media, scholars, authors and taxpayers seeking to determine whether those entrusted with the affairs of the government are honestly, faithfully, and competently performing their duties as public servants.”). </w:t>
      </w:r>
    </w:p>
  </w:footnote>
  <w:footnote w:id="32">
    <w:p w14:paraId="6ED0E201" w14:textId="63A5E8DF" w:rsidR="00C814B3" w:rsidRDefault="00C814B3">
      <w:pPr>
        <w:pStyle w:val="FootnoteText"/>
      </w:pPr>
      <w:r>
        <w:rPr>
          <w:rStyle w:val="FootnoteReference"/>
        </w:rPr>
        <w:footnoteRef/>
      </w:r>
      <w:r>
        <w:t xml:space="preserve"> </w:t>
      </w:r>
      <w:r w:rsidRPr="00246F1B">
        <w:rPr>
          <w:smallCaps/>
        </w:rPr>
        <w:t>Conn. Gen. Stat</w:t>
      </w:r>
      <w:r>
        <w:t>. § 1-212(d) (2020).</w:t>
      </w:r>
    </w:p>
  </w:footnote>
  <w:footnote w:id="33">
    <w:p w14:paraId="5FD6CD90" w14:textId="33952285" w:rsidR="00C814B3" w:rsidRPr="00C814B3" w:rsidRDefault="00C814B3">
      <w:pPr>
        <w:pStyle w:val="FootnoteText"/>
      </w:pPr>
      <w:r>
        <w:rPr>
          <w:rStyle w:val="FootnoteReference"/>
        </w:rPr>
        <w:footnoteRef/>
      </w:r>
      <w:r>
        <w:t xml:space="preserve"> FOIA FAQ </w:t>
      </w:r>
      <w:r w:rsidRPr="00C814B3">
        <w:t>https://www.foia.gov/faq.html</w:t>
      </w:r>
      <w:r>
        <w:rPr>
          <w:smallCaps/>
        </w:rPr>
        <w:t xml:space="preserve"> (</w:t>
      </w:r>
      <w:r w:rsidR="004F72CB">
        <w:t>l</w:t>
      </w:r>
      <w:r>
        <w:t xml:space="preserve">ast visited July 21, 2021). </w:t>
      </w:r>
    </w:p>
  </w:footnote>
  <w:footnote w:id="34">
    <w:p w14:paraId="3C5CD996" w14:textId="4BCECAD9" w:rsidR="003370D6" w:rsidRDefault="003370D6">
      <w:pPr>
        <w:pStyle w:val="FootnoteText"/>
      </w:pPr>
      <w:r>
        <w:rPr>
          <w:rStyle w:val="FootnoteReference"/>
        </w:rPr>
        <w:footnoteRef/>
      </w:r>
      <w:r>
        <w:t xml:space="preserve"> 5 </w:t>
      </w:r>
      <w:r w:rsidRPr="00246F1B">
        <w:rPr>
          <w:smallCaps/>
        </w:rPr>
        <w:t>Ill. Comp. Stat</w:t>
      </w:r>
      <w:r>
        <w:t xml:space="preserve">. 140/6(c) (2020), </w:t>
      </w:r>
      <w:r w:rsidRPr="00246F1B">
        <w:rPr>
          <w:smallCaps/>
        </w:rPr>
        <w:t xml:space="preserve">Idaho </w:t>
      </w:r>
      <w:r w:rsidR="00246F1B" w:rsidRPr="00246F1B">
        <w:rPr>
          <w:smallCaps/>
        </w:rPr>
        <w:t>Code</w:t>
      </w:r>
      <w:r>
        <w:t xml:space="preserve"> § 74-102(10)(f)(i)</w:t>
      </w:r>
      <w:r w:rsidR="004F72CB">
        <w:t>–</w:t>
      </w:r>
      <w:r>
        <w:t xml:space="preserve">(ii) (2020). </w:t>
      </w:r>
    </w:p>
  </w:footnote>
  <w:footnote w:id="35">
    <w:p w14:paraId="71694961" w14:textId="17FCD07C" w:rsidR="00F1491D" w:rsidRDefault="00F1491D">
      <w:pPr>
        <w:pStyle w:val="FootnoteText"/>
      </w:pPr>
      <w:r>
        <w:rPr>
          <w:rStyle w:val="FootnoteReference"/>
        </w:rPr>
        <w:footnoteRef/>
      </w:r>
      <w:r>
        <w:t xml:space="preserve"> The Florida Department of Law Enforcement responded to my request </w:t>
      </w:r>
      <w:r w:rsidR="009A36DC">
        <w:t>nearly three months</w:t>
      </w:r>
      <w:r>
        <w:t xml:space="preserve"> after I sent it and estimated that it would cost $66 to complete the request. The Florida Department of Transportation provided a log with </w:t>
      </w:r>
      <w:r w:rsidR="007C5349">
        <w:t xml:space="preserve">the name of requester </w:t>
      </w:r>
      <w:r>
        <w:t>for free. The</w:t>
      </w:r>
      <w:r w:rsidR="00FF5E1C">
        <w:t xml:space="preserve"> agency estimated that it would cost more than $100,000 to also provide a description of the request and whether any special service charges were imposed. </w:t>
      </w:r>
    </w:p>
  </w:footnote>
  <w:footnote w:id="36">
    <w:p w14:paraId="323DD158" w14:textId="628DB5EC" w:rsidR="008E4384" w:rsidRPr="008E4384" w:rsidRDefault="008E4384">
      <w:pPr>
        <w:pStyle w:val="FootnoteText"/>
      </w:pPr>
      <w:r>
        <w:rPr>
          <w:rStyle w:val="FootnoteReference"/>
        </w:rPr>
        <w:footnoteRef/>
      </w:r>
      <w:r>
        <w:t xml:space="preserve"> </w:t>
      </w:r>
      <w:r>
        <w:rPr>
          <w:i/>
          <w:iCs/>
        </w:rPr>
        <w:t xml:space="preserve">See </w:t>
      </w:r>
      <w:r>
        <w:t xml:space="preserve">I.R.C. § 501(c)(3).  </w:t>
      </w:r>
    </w:p>
  </w:footnote>
  <w:footnote w:id="37">
    <w:p w14:paraId="1154C124" w14:textId="7AD5013E" w:rsidR="00A551F9" w:rsidRPr="00A551F9" w:rsidRDefault="00A551F9">
      <w:pPr>
        <w:pStyle w:val="FootnoteText"/>
      </w:pPr>
      <w:r>
        <w:rPr>
          <w:rStyle w:val="FootnoteReference"/>
        </w:rPr>
        <w:footnoteRef/>
      </w:r>
      <w:r>
        <w:t xml:space="preserve"> </w:t>
      </w:r>
      <w:r>
        <w:rPr>
          <w:i/>
          <w:iCs/>
        </w:rPr>
        <w:t xml:space="preserve">See e.g. </w:t>
      </w:r>
      <w:r>
        <w:rPr>
          <w:smallCaps/>
        </w:rPr>
        <w:t>Alaska Stat. Ann § 40.25.110(</w:t>
      </w:r>
      <w:r>
        <w:t>c). (“If the production of records for one requester in a calendar month exceeds five person-hours, the public agency shall require the requester to pay the personnel costs required during the month to complete the search and copying task.”)</w:t>
      </w:r>
    </w:p>
  </w:footnote>
  <w:footnote w:id="38">
    <w:p w14:paraId="347E7CAE" w14:textId="0DDBAB53" w:rsidR="00B357F9" w:rsidRDefault="00B357F9" w:rsidP="00B357F9">
      <w:pPr>
        <w:pStyle w:val="FootnoteText"/>
      </w:pPr>
      <w:r>
        <w:rPr>
          <w:rStyle w:val="FootnoteReference"/>
        </w:rPr>
        <w:footnoteRef/>
      </w:r>
      <w:r>
        <w:t xml:space="preserve"> Neb. Rev. Stat. §84-712 (3)(c) (allowing a custodian to charge only after four hours of labor). </w:t>
      </w:r>
      <w:r>
        <w:rPr>
          <w:i/>
          <w:iCs/>
        </w:rPr>
        <w:t>See also</w:t>
      </w:r>
      <w:r>
        <w:t>, Idaho Stat. § 74-102(10)(b)(i) and N.Y. Pub. Off. § 87(1</w:t>
      </w:r>
      <w:proofErr w:type="gramStart"/>
      <w:r>
        <w:t>)(</w:t>
      </w:r>
      <w:proofErr w:type="gramEnd"/>
      <w:r>
        <w:t>c)iv., (permitting charge for search and review of records after two hours of labor).</w:t>
      </w:r>
    </w:p>
  </w:footnote>
  <w:footnote w:id="39">
    <w:p w14:paraId="7381ECD5" w14:textId="77777777" w:rsidR="00B357F9" w:rsidRPr="00090786" w:rsidRDefault="00B357F9" w:rsidP="00B357F9">
      <w:pPr>
        <w:pStyle w:val="FootnoteText"/>
      </w:pPr>
      <w:r>
        <w:rPr>
          <w:rStyle w:val="FootnoteReference"/>
        </w:rPr>
        <w:footnoteRef/>
      </w:r>
      <w:r>
        <w:t xml:space="preserve"> </w:t>
      </w:r>
      <w:r>
        <w:rPr>
          <w:i/>
          <w:iCs/>
        </w:rPr>
        <w:t xml:space="preserve">See e.g., </w:t>
      </w:r>
      <w:r>
        <w:rPr>
          <w:smallCaps/>
        </w:rPr>
        <w:t xml:space="preserve">Del. Code Ann. </w:t>
      </w:r>
      <w:r>
        <w:t xml:space="preserve">tit. 29 § 10003(m)(2) (2020) (“Administrative fees shall not include any cost associated with the public body’s legal review of whether any portion of the requested records is exempt under FOIA.”) </w:t>
      </w:r>
      <w:r>
        <w:rPr>
          <w:i/>
          <w:iCs/>
        </w:rPr>
        <w:t xml:space="preserve">See also </w:t>
      </w:r>
      <w:r w:rsidRPr="00246F1B">
        <w:rPr>
          <w:smallCaps/>
        </w:rPr>
        <w:t>Neb. Rev. Stat</w:t>
      </w:r>
      <w:r>
        <w:t xml:space="preserve">. §84-712 (3)(c), </w:t>
      </w:r>
      <w:r w:rsidRPr="00246F1B">
        <w:rPr>
          <w:smallCaps/>
        </w:rPr>
        <w:t>Or. Rev. Stat</w:t>
      </w:r>
      <w:r>
        <w:t xml:space="preserve">. § 192.324(4)(b), 65 </w:t>
      </w:r>
      <w:r w:rsidRPr="00246F1B">
        <w:rPr>
          <w:smallCaps/>
        </w:rPr>
        <w:t>Pa. Stat. Ann</w:t>
      </w:r>
      <w:r>
        <w:t xml:space="preserve">. § 67.1307(g), </w:t>
      </w:r>
      <w:r w:rsidRPr="00246F1B">
        <w:rPr>
          <w:smallCaps/>
        </w:rPr>
        <w:t>Utah Code Ann</w:t>
      </w:r>
      <w:r>
        <w:t xml:space="preserve"> § 63G-2-203(5)(a).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removePersonalInformation/>
  <w:removeDateAndTime/>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9F4"/>
    <w:rsid w:val="0001076F"/>
    <w:rsid w:val="000129ED"/>
    <w:rsid w:val="00015DF9"/>
    <w:rsid w:val="00090786"/>
    <w:rsid w:val="000971BF"/>
    <w:rsid w:val="00142716"/>
    <w:rsid w:val="001C4025"/>
    <w:rsid w:val="001E4F86"/>
    <w:rsid w:val="001F2372"/>
    <w:rsid w:val="00246F1B"/>
    <w:rsid w:val="00290D2C"/>
    <w:rsid w:val="002E7080"/>
    <w:rsid w:val="003117FC"/>
    <w:rsid w:val="003370D6"/>
    <w:rsid w:val="00344F27"/>
    <w:rsid w:val="00353D15"/>
    <w:rsid w:val="00364211"/>
    <w:rsid w:val="003D35A2"/>
    <w:rsid w:val="00450032"/>
    <w:rsid w:val="00457B51"/>
    <w:rsid w:val="004F72CB"/>
    <w:rsid w:val="00503321"/>
    <w:rsid w:val="00523400"/>
    <w:rsid w:val="00544655"/>
    <w:rsid w:val="00574E40"/>
    <w:rsid w:val="005862C0"/>
    <w:rsid w:val="00587FB1"/>
    <w:rsid w:val="006115FC"/>
    <w:rsid w:val="00681616"/>
    <w:rsid w:val="00687562"/>
    <w:rsid w:val="006A048F"/>
    <w:rsid w:val="006B65B6"/>
    <w:rsid w:val="006C0B40"/>
    <w:rsid w:val="006C0EFB"/>
    <w:rsid w:val="006E6EA9"/>
    <w:rsid w:val="007C5349"/>
    <w:rsid w:val="007D5A96"/>
    <w:rsid w:val="008039A7"/>
    <w:rsid w:val="008151E1"/>
    <w:rsid w:val="008368DB"/>
    <w:rsid w:val="008377F1"/>
    <w:rsid w:val="0084632B"/>
    <w:rsid w:val="0084659B"/>
    <w:rsid w:val="008E4384"/>
    <w:rsid w:val="008F6713"/>
    <w:rsid w:val="00900232"/>
    <w:rsid w:val="00904DCE"/>
    <w:rsid w:val="009078C0"/>
    <w:rsid w:val="00927E34"/>
    <w:rsid w:val="0097557E"/>
    <w:rsid w:val="00975A9A"/>
    <w:rsid w:val="009A36DC"/>
    <w:rsid w:val="009A37E5"/>
    <w:rsid w:val="009B0E89"/>
    <w:rsid w:val="009C1D63"/>
    <w:rsid w:val="009F6A32"/>
    <w:rsid w:val="00A37159"/>
    <w:rsid w:val="00A551F9"/>
    <w:rsid w:val="00A55983"/>
    <w:rsid w:val="00A9038F"/>
    <w:rsid w:val="00A96383"/>
    <w:rsid w:val="00AB28D7"/>
    <w:rsid w:val="00B16F93"/>
    <w:rsid w:val="00B357F9"/>
    <w:rsid w:val="00B46EAF"/>
    <w:rsid w:val="00B60792"/>
    <w:rsid w:val="00BB79F4"/>
    <w:rsid w:val="00BD7E24"/>
    <w:rsid w:val="00C112F6"/>
    <w:rsid w:val="00C408D5"/>
    <w:rsid w:val="00C542A4"/>
    <w:rsid w:val="00C648E4"/>
    <w:rsid w:val="00C71450"/>
    <w:rsid w:val="00C814B3"/>
    <w:rsid w:val="00CA5C75"/>
    <w:rsid w:val="00CB161F"/>
    <w:rsid w:val="00CE5619"/>
    <w:rsid w:val="00D64566"/>
    <w:rsid w:val="00DA201D"/>
    <w:rsid w:val="00E27E0B"/>
    <w:rsid w:val="00E471BD"/>
    <w:rsid w:val="00E644DF"/>
    <w:rsid w:val="00E832BE"/>
    <w:rsid w:val="00E84B23"/>
    <w:rsid w:val="00EA48BD"/>
    <w:rsid w:val="00F1491D"/>
    <w:rsid w:val="00F243CC"/>
    <w:rsid w:val="00F91076"/>
    <w:rsid w:val="00FC14A6"/>
    <w:rsid w:val="00FE13AB"/>
    <w:rsid w:val="00FF5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377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F27"/>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BB79F4"/>
    <w:rPr>
      <w:iCs/>
      <w:sz w:val="20"/>
      <w:szCs w:val="20"/>
    </w:rPr>
  </w:style>
  <w:style w:type="character" w:customStyle="1" w:styleId="EndnoteTextChar">
    <w:name w:val="Endnote Text Char"/>
    <w:basedOn w:val="DefaultParagraphFont"/>
    <w:link w:val="EndnoteText"/>
    <w:uiPriority w:val="99"/>
    <w:rsid w:val="00BB79F4"/>
    <w:rPr>
      <w:iCs/>
      <w:sz w:val="20"/>
      <w:szCs w:val="20"/>
    </w:rPr>
  </w:style>
  <w:style w:type="character" w:styleId="EndnoteReference">
    <w:name w:val="endnote reference"/>
    <w:basedOn w:val="DefaultParagraphFont"/>
    <w:uiPriority w:val="99"/>
    <w:semiHidden/>
    <w:unhideWhenUsed/>
    <w:rsid w:val="00BB79F4"/>
    <w:rPr>
      <w:vertAlign w:val="superscript"/>
    </w:rPr>
  </w:style>
  <w:style w:type="character" w:styleId="Hyperlink">
    <w:name w:val="Hyperlink"/>
    <w:basedOn w:val="DefaultParagraphFont"/>
    <w:uiPriority w:val="99"/>
    <w:unhideWhenUsed/>
    <w:rsid w:val="00BB79F4"/>
    <w:rPr>
      <w:color w:val="0563C1" w:themeColor="hyperlink"/>
      <w:u w:val="single"/>
    </w:rPr>
  </w:style>
  <w:style w:type="character" w:styleId="FollowedHyperlink">
    <w:name w:val="FollowedHyperlink"/>
    <w:basedOn w:val="DefaultParagraphFont"/>
    <w:uiPriority w:val="99"/>
    <w:semiHidden/>
    <w:unhideWhenUsed/>
    <w:rsid w:val="00BB79F4"/>
    <w:rPr>
      <w:color w:val="954F72" w:themeColor="followedHyperlink"/>
      <w:u w:val="single"/>
    </w:rPr>
  </w:style>
  <w:style w:type="character" w:customStyle="1" w:styleId="UnresolvedMention">
    <w:name w:val="Unresolved Mention"/>
    <w:basedOn w:val="DefaultParagraphFont"/>
    <w:uiPriority w:val="99"/>
    <w:rsid w:val="00BB79F4"/>
    <w:rPr>
      <w:color w:val="605E5C"/>
      <w:shd w:val="clear" w:color="auto" w:fill="E1DFDD"/>
    </w:rPr>
  </w:style>
  <w:style w:type="paragraph" w:styleId="FootnoteText">
    <w:name w:val="footnote text"/>
    <w:basedOn w:val="Normal"/>
    <w:link w:val="FootnoteTextChar"/>
    <w:uiPriority w:val="99"/>
    <w:semiHidden/>
    <w:unhideWhenUsed/>
    <w:rsid w:val="000971BF"/>
    <w:rPr>
      <w:sz w:val="20"/>
      <w:szCs w:val="20"/>
    </w:rPr>
  </w:style>
  <w:style w:type="character" w:customStyle="1" w:styleId="FootnoteTextChar">
    <w:name w:val="Footnote Text Char"/>
    <w:basedOn w:val="DefaultParagraphFont"/>
    <w:link w:val="FootnoteText"/>
    <w:uiPriority w:val="99"/>
    <w:semiHidden/>
    <w:rsid w:val="000971BF"/>
    <w:rPr>
      <w:sz w:val="20"/>
      <w:szCs w:val="20"/>
    </w:rPr>
  </w:style>
  <w:style w:type="character" w:styleId="FootnoteReference">
    <w:name w:val="footnote reference"/>
    <w:basedOn w:val="DefaultParagraphFont"/>
    <w:uiPriority w:val="99"/>
    <w:semiHidden/>
    <w:unhideWhenUsed/>
    <w:rsid w:val="000971BF"/>
    <w:rPr>
      <w:vertAlign w:val="superscript"/>
    </w:rPr>
  </w:style>
  <w:style w:type="character" w:styleId="CommentReference">
    <w:name w:val="annotation reference"/>
    <w:basedOn w:val="DefaultParagraphFont"/>
    <w:uiPriority w:val="99"/>
    <w:semiHidden/>
    <w:unhideWhenUsed/>
    <w:rsid w:val="00CE5619"/>
    <w:rPr>
      <w:sz w:val="16"/>
      <w:szCs w:val="16"/>
    </w:rPr>
  </w:style>
  <w:style w:type="paragraph" w:styleId="CommentText">
    <w:name w:val="annotation text"/>
    <w:basedOn w:val="Normal"/>
    <w:link w:val="CommentTextChar"/>
    <w:uiPriority w:val="99"/>
    <w:semiHidden/>
    <w:unhideWhenUsed/>
    <w:rsid w:val="00CE5619"/>
    <w:rPr>
      <w:sz w:val="20"/>
      <w:szCs w:val="20"/>
    </w:rPr>
  </w:style>
  <w:style w:type="character" w:customStyle="1" w:styleId="CommentTextChar">
    <w:name w:val="Comment Text Char"/>
    <w:basedOn w:val="DefaultParagraphFont"/>
    <w:link w:val="CommentText"/>
    <w:uiPriority w:val="99"/>
    <w:semiHidden/>
    <w:rsid w:val="00CE5619"/>
    <w:rPr>
      <w:sz w:val="20"/>
      <w:szCs w:val="20"/>
    </w:rPr>
  </w:style>
  <w:style w:type="paragraph" w:styleId="CommentSubject">
    <w:name w:val="annotation subject"/>
    <w:basedOn w:val="CommentText"/>
    <w:next w:val="CommentText"/>
    <w:link w:val="CommentSubjectChar"/>
    <w:uiPriority w:val="99"/>
    <w:semiHidden/>
    <w:unhideWhenUsed/>
    <w:rsid w:val="00CE5619"/>
    <w:rPr>
      <w:b/>
      <w:bCs/>
    </w:rPr>
  </w:style>
  <w:style w:type="character" w:customStyle="1" w:styleId="CommentSubjectChar">
    <w:name w:val="Comment Subject Char"/>
    <w:basedOn w:val="CommentTextChar"/>
    <w:link w:val="CommentSubject"/>
    <w:uiPriority w:val="99"/>
    <w:semiHidden/>
    <w:rsid w:val="00CE5619"/>
    <w:rPr>
      <w:b/>
      <w:bCs/>
      <w:sz w:val="20"/>
      <w:szCs w:val="20"/>
    </w:rPr>
  </w:style>
  <w:style w:type="paragraph" w:styleId="NoSpacing">
    <w:name w:val="No Spacing"/>
    <w:uiPriority w:val="1"/>
    <w:qFormat/>
    <w:rsid w:val="008E4384"/>
    <w:rPr>
      <w:rFonts w:eastAsia="Times New Roman"/>
    </w:rPr>
  </w:style>
  <w:style w:type="paragraph" w:styleId="Revision">
    <w:name w:val="Revision"/>
    <w:hidden/>
    <w:uiPriority w:val="99"/>
    <w:semiHidden/>
    <w:rsid w:val="0097557E"/>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65105">
      <w:bodyDiv w:val="1"/>
      <w:marLeft w:val="0"/>
      <w:marRight w:val="0"/>
      <w:marTop w:val="0"/>
      <w:marBottom w:val="0"/>
      <w:divBdr>
        <w:top w:val="none" w:sz="0" w:space="0" w:color="auto"/>
        <w:left w:val="none" w:sz="0" w:space="0" w:color="auto"/>
        <w:bottom w:val="none" w:sz="0" w:space="0" w:color="auto"/>
        <w:right w:val="none" w:sz="0" w:space="0" w:color="auto"/>
      </w:divBdr>
    </w:div>
    <w:div w:id="79183852">
      <w:bodyDiv w:val="1"/>
      <w:marLeft w:val="0"/>
      <w:marRight w:val="0"/>
      <w:marTop w:val="0"/>
      <w:marBottom w:val="0"/>
      <w:divBdr>
        <w:top w:val="none" w:sz="0" w:space="0" w:color="auto"/>
        <w:left w:val="none" w:sz="0" w:space="0" w:color="auto"/>
        <w:bottom w:val="none" w:sz="0" w:space="0" w:color="auto"/>
        <w:right w:val="none" w:sz="0" w:space="0" w:color="auto"/>
      </w:divBdr>
    </w:div>
    <w:div w:id="266080233">
      <w:bodyDiv w:val="1"/>
      <w:marLeft w:val="0"/>
      <w:marRight w:val="0"/>
      <w:marTop w:val="0"/>
      <w:marBottom w:val="0"/>
      <w:divBdr>
        <w:top w:val="none" w:sz="0" w:space="0" w:color="auto"/>
        <w:left w:val="none" w:sz="0" w:space="0" w:color="auto"/>
        <w:bottom w:val="none" w:sz="0" w:space="0" w:color="auto"/>
        <w:right w:val="none" w:sz="0" w:space="0" w:color="auto"/>
      </w:divBdr>
    </w:div>
    <w:div w:id="305936033">
      <w:bodyDiv w:val="1"/>
      <w:marLeft w:val="0"/>
      <w:marRight w:val="0"/>
      <w:marTop w:val="0"/>
      <w:marBottom w:val="0"/>
      <w:divBdr>
        <w:top w:val="none" w:sz="0" w:space="0" w:color="auto"/>
        <w:left w:val="none" w:sz="0" w:space="0" w:color="auto"/>
        <w:bottom w:val="none" w:sz="0" w:space="0" w:color="auto"/>
        <w:right w:val="none" w:sz="0" w:space="0" w:color="auto"/>
      </w:divBdr>
    </w:div>
    <w:div w:id="467862242">
      <w:bodyDiv w:val="1"/>
      <w:marLeft w:val="0"/>
      <w:marRight w:val="0"/>
      <w:marTop w:val="0"/>
      <w:marBottom w:val="0"/>
      <w:divBdr>
        <w:top w:val="none" w:sz="0" w:space="0" w:color="auto"/>
        <w:left w:val="none" w:sz="0" w:space="0" w:color="auto"/>
        <w:bottom w:val="none" w:sz="0" w:space="0" w:color="auto"/>
        <w:right w:val="none" w:sz="0" w:space="0" w:color="auto"/>
      </w:divBdr>
    </w:div>
    <w:div w:id="652030299">
      <w:bodyDiv w:val="1"/>
      <w:marLeft w:val="0"/>
      <w:marRight w:val="0"/>
      <w:marTop w:val="0"/>
      <w:marBottom w:val="0"/>
      <w:divBdr>
        <w:top w:val="none" w:sz="0" w:space="0" w:color="auto"/>
        <w:left w:val="none" w:sz="0" w:space="0" w:color="auto"/>
        <w:bottom w:val="none" w:sz="0" w:space="0" w:color="auto"/>
        <w:right w:val="none" w:sz="0" w:space="0" w:color="auto"/>
      </w:divBdr>
    </w:div>
    <w:div w:id="826752690">
      <w:bodyDiv w:val="1"/>
      <w:marLeft w:val="0"/>
      <w:marRight w:val="0"/>
      <w:marTop w:val="0"/>
      <w:marBottom w:val="0"/>
      <w:divBdr>
        <w:top w:val="none" w:sz="0" w:space="0" w:color="auto"/>
        <w:left w:val="none" w:sz="0" w:space="0" w:color="auto"/>
        <w:bottom w:val="none" w:sz="0" w:space="0" w:color="auto"/>
        <w:right w:val="none" w:sz="0" w:space="0" w:color="auto"/>
      </w:divBdr>
    </w:div>
    <w:div w:id="1097294091">
      <w:bodyDiv w:val="1"/>
      <w:marLeft w:val="0"/>
      <w:marRight w:val="0"/>
      <w:marTop w:val="0"/>
      <w:marBottom w:val="0"/>
      <w:divBdr>
        <w:top w:val="none" w:sz="0" w:space="0" w:color="auto"/>
        <w:left w:val="none" w:sz="0" w:space="0" w:color="auto"/>
        <w:bottom w:val="none" w:sz="0" w:space="0" w:color="auto"/>
        <w:right w:val="none" w:sz="0" w:space="0" w:color="auto"/>
      </w:divBdr>
    </w:div>
    <w:div w:id="1612590140">
      <w:bodyDiv w:val="1"/>
      <w:marLeft w:val="0"/>
      <w:marRight w:val="0"/>
      <w:marTop w:val="0"/>
      <w:marBottom w:val="0"/>
      <w:divBdr>
        <w:top w:val="none" w:sz="0" w:space="0" w:color="auto"/>
        <w:left w:val="none" w:sz="0" w:space="0" w:color="auto"/>
        <w:bottom w:val="none" w:sz="0" w:space="0" w:color="auto"/>
        <w:right w:val="none" w:sz="0" w:space="0" w:color="auto"/>
      </w:divBdr>
    </w:div>
    <w:div w:id="1631861503">
      <w:bodyDiv w:val="1"/>
      <w:marLeft w:val="0"/>
      <w:marRight w:val="0"/>
      <w:marTop w:val="0"/>
      <w:marBottom w:val="0"/>
      <w:divBdr>
        <w:top w:val="none" w:sz="0" w:space="0" w:color="auto"/>
        <w:left w:val="none" w:sz="0" w:space="0" w:color="auto"/>
        <w:bottom w:val="none" w:sz="0" w:space="0" w:color="auto"/>
        <w:right w:val="none" w:sz="0" w:space="0" w:color="auto"/>
      </w:divBdr>
    </w:div>
    <w:div w:id="1744177793">
      <w:bodyDiv w:val="1"/>
      <w:marLeft w:val="0"/>
      <w:marRight w:val="0"/>
      <w:marTop w:val="0"/>
      <w:marBottom w:val="0"/>
      <w:divBdr>
        <w:top w:val="none" w:sz="0" w:space="0" w:color="auto"/>
        <w:left w:val="none" w:sz="0" w:space="0" w:color="auto"/>
        <w:bottom w:val="none" w:sz="0" w:space="0" w:color="auto"/>
        <w:right w:val="none" w:sz="0" w:space="0" w:color="auto"/>
      </w:divBdr>
    </w:div>
    <w:div w:id="1776631731">
      <w:bodyDiv w:val="1"/>
      <w:marLeft w:val="0"/>
      <w:marRight w:val="0"/>
      <w:marTop w:val="0"/>
      <w:marBottom w:val="0"/>
      <w:divBdr>
        <w:top w:val="none" w:sz="0" w:space="0" w:color="auto"/>
        <w:left w:val="none" w:sz="0" w:space="0" w:color="auto"/>
        <w:bottom w:val="none" w:sz="0" w:space="0" w:color="auto"/>
        <w:right w:val="none" w:sz="0" w:space="0" w:color="auto"/>
      </w:divBdr>
    </w:div>
    <w:div w:id="1778019939">
      <w:bodyDiv w:val="1"/>
      <w:marLeft w:val="0"/>
      <w:marRight w:val="0"/>
      <w:marTop w:val="0"/>
      <w:marBottom w:val="0"/>
      <w:divBdr>
        <w:top w:val="none" w:sz="0" w:space="0" w:color="auto"/>
        <w:left w:val="none" w:sz="0" w:space="0" w:color="auto"/>
        <w:bottom w:val="none" w:sz="0" w:space="0" w:color="auto"/>
        <w:right w:val="none" w:sz="0" w:space="0" w:color="auto"/>
      </w:divBdr>
    </w:div>
    <w:div w:id="1971745229">
      <w:bodyDiv w:val="1"/>
      <w:marLeft w:val="0"/>
      <w:marRight w:val="0"/>
      <w:marTop w:val="0"/>
      <w:marBottom w:val="0"/>
      <w:divBdr>
        <w:top w:val="none" w:sz="0" w:space="0" w:color="auto"/>
        <w:left w:val="none" w:sz="0" w:space="0" w:color="auto"/>
        <w:bottom w:val="none" w:sz="0" w:space="0" w:color="auto"/>
        <w:right w:val="none" w:sz="0" w:space="0" w:color="auto"/>
      </w:divBdr>
    </w:div>
    <w:div w:id="206020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miamiherald.com/news/state/florida/article252283013.html" TargetMode="External"/><Relationship Id="rId3" Type="http://schemas.openxmlformats.org/officeDocument/2006/relationships/hyperlink" Target="https://www.vice.com/en/article/dy84dw/florida-wants-dollar17000-to-release-documents-about-covid-19-vaccine-rollout" TargetMode="External"/><Relationship Id="rId7" Type="http://schemas.openxmlformats.org/officeDocument/2006/relationships/hyperlink" Target="https://www.propublica.org/article/when-births-go-horribly-wrong-florida-protects-doctors-and-forces-families-to-pay-the-price" TargetMode="External"/><Relationship Id="rId2" Type="http://schemas.openxmlformats.org/officeDocument/2006/relationships/hyperlink" Target="https://ciw-online.org/blog/2020/09/gov-desantis-collier-county/" TargetMode="External"/><Relationship Id="rId1" Type="http://schemas.openxmlformats.org/officeDocument/2006/relationships/hyperlink" Target="https://www.wlrn.org/local-news/2021-03-29/the-high-cost-of-sunshine-public-records-in-florida-can-cost-more-than-a-years-salary" TargetMode="External"/><Relationship Id="rId6" Type="http://schemas.openxmlformats.org/officeDocument/2006/relationships/hyperlink" Target="https://www.tcpalm.com/story/news/local/2021/04/07/17th-street-alma-lee-loy-bridge-partly-unstable-fdot-says-its-safe/7068853002/" TargetMode="External"/><Relationship Id="rId5" Type="http://schemas.openxmlformats.org/officeDocument/2006/relationships/hyperlink" Target="https://www.orlandosentinel.com/news/os-ne-florida-department-of-health-settles-sentinel-lawsuit-over-variant-data-20210421-i5byxgkkkrczfkelkmalhzjv2q-story.html" TargetMode="External"/><Relationship Id="rId4" Type="http://schemas.openxmlformats.org/officeDocument/2006/relationships/hyperlink" Target="https://www.miamiherald.com/news/politics-government/state-politics/article249587018.html" TargetMode="External"/><Relationship Id="rId9" Type="http://schemas.openxmlformats.org/officeDocument/2006/relationships/hyperlink" Target="https://www.miamiherald.com/news/local/community/miami-dade/miami-beach/article252385083.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4"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macuser\FAF%20Team%20Dropbox\PROJECTS\Running%20Projects\PRR%20fees\Agency%20logs\DEP%20Log%20January%202020-April%2020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macuser\FAF%20Team%20Dropbox\PROJECTS\Running%20Projects\PRR%20fees\Agency%20logs\Copy%20of%20DACS.xlsm"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macuser\FAF%20Team%20Dropbox\PROJECTS\Running%20Projects\PRR%20fees\Agency%20logs\Copy%20of%20FAF%20Dept%20of%20Lottery%20Public%20Records%20Reques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macuser\FAF%20Team%20Dropbox\PROJECTS\Running%20Projects\PRR%20fees\Agency%20logs\EOG%20log%20Jan%2020--APR%202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Users\macuser\FAF%20Team%20Dropbox\PROJECTS\Running%20Projects\PRR%20fees\Agency%20logs\Charts\Total%2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Users\macuser\FAF%20Team%20Dropbox\PROJECTS\Running%20Projects\PRR%20fees\Agency%20logs\Charts\Total%20.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[AHCA.xlsx]Suggestion1!PivotTable1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ACHA</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
        <c:spPr>
          <a:solidFill>
            <a:schemeClr val="accent1"/>
          </a:solidFill>
          <a:ln w="19050">
            <a:solidFill>
              <a:schemeClr val="lt1"/>
            </a:solidFill>
          </a:ln>
          <a:effectLst/>
        </c:spPr>
      </c:pivotFmt>
      <c:pivotFmt>
        <c:idx val="3"/>
        <c:spPr>
          <a:solidFill>
            <a:schemeClr val="accent1"/>
          </a:solidFill>
          <a:ln w="19050">
            <a:solidFill>
              <a:schemeClr val="lt1"/>
            </a:solidFill>
          </a:ln>
          <a:effectLst/>
        </c:spPr>
      </c:pivotFmt>
      <c:pivotFmt>
        <c:idx val="4"/>
        <c:spPr>
          <a:solidFill>
            <a:schemeClr val="accent1"/>
          </a:solidFill>
          <a:ln w="19050">
            <a:solidFill>
              <a:schemeClr val="lt1"/>
            </a:solidFill>
          </a:ln>
          <a:effectLst/>
        </c:spPr>
      </c:pivotFmt>
      <c:pivotFmt>
        <c:idx val="5"/>
        <c:spPr>
          <a:solidFill>
            <a:schemeClr val="accent1"/>
          </a:solidFill>
          <a:ln w="19050">
            <a:solidFill>
              <a:schemeClr val="lt1"/>
            </a:solidFill>
          </a:ln>
          <a:effectLst/>
        </c:spPr>
      </c:pivotFmt>
      <c:pivotFmt>
        <c:idx val="6"/>
        <c:spPr>
          <a:solidFill>
            <a:schemeClr val="accent1"/>
          </a:solidFill>
          <a:ln w="19050">
            <a:solidFill>
              <a:schemeClr val="lt1"/>
            </a:solidFill>
          </a:ln>
          <a:effectLst/>
        </c:spPr>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pivotFmt>
      <c:pivotFmt>
        <c:idx val="9"/>
        <c:spPr>
          <a:solidFill>
            <a:schemeClr val="accent1"/>
          </a:solidFill>
          <a:ln w="19050">
            <a:solidFill>
              <a:schemeClr val="lt1"/>
            </a:solidFill>
          </a:ln>
          <a:effectLst/>
        </c:spPr>
      </c:pivotFmt>
      <c:pivotFmt>
        <c:idx val="10"/>
        <c:spPr>
          <a:solidFill>
            <a:schemeClr val="accent1"/>
          </a:solidFill>
          <a:ln w="19050">
            <a:solidFill>
              <a:schemeClr val="lt1"/>
            </a:solidFill>
          </a:ln>
          <a:effectLst/>
        </c:spPr>
      </c:pivotFmt>
      <c:pivotFmt>
        <c:idx val="11"/>
        <c:spPr>
          <a:solidFill>
            <a:schemeClr val="accent1"/>
          </a:solidFill>
          <a:ln w="19050">
            <a:solidFill>
              <a:schemeClr val="lt1"/>
            </a:solidFill>
          </a:ln>
          <a:effectLst/>
        </c:spPr>
      </c:pivotFmt>
      <c:pivotFmt>
        <c:idx val="1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pivotFmt>
      <c:pivotFmt>
        <c:idx val="14"/>
        <c:spPr>
          <a:solidFill>
            <a:schemeClr val="accent1"/>
          </a:solidFill>
          <a:ln w="19050">
            <a:solidFill>
              <a:schemeClr val="lt1"/>
            </a:solidFill>
          </a:ln>
          <a:effectLst/>
        </c:spPr>
      </c:pivotFmt>
      <c:pivotFmt>
        <c:idx val="15"/>
        <c:spPr>
          <a:solidFill>
            <a:schemeClr val="accent1"/>
          </a:solidFill>
          <a:ln w="19050">
            <a:solidFill>
              <a:schemeClr val="lt1"/>
            </a:solidFill>
          </a:ln>
          <a:effectLst/>
        </c:spPr>
      </c:pivotFmt>
      <c:pivotFmt>
        <c:idx val="16"/>
        <c:spPr>
          <a:solidFill>
            <a:schemeClr val="accent1"/>
          </a:solidFill>
          <a:ln w="19050">
            <a:solidFill>
              <a:schemeClr val="lt1"/>
            </a:solidFill>
          </a:ln>
          <a:effectLst/>
        </c:spPr>
      </c:pivotFmt>
      <c:pivotFmt>
        <c:idx val="17"/>
        <c:spPr>
          <a:solidFill>
            <a:schemeClr val="accent1"/>
          </a:solidFill>
          <a:ln w="19050">
            <a:solidFill>
              <a:schemeClr val="lt1"/>
            </a:solidFill>
          </a:ln>
          <a:effectLst/>
        </c:spPr>
      </c:pivotFmt>
      <c:pivotFmt>
        <c:idx val="18"/>
        <c:spPr>
          <a:solidFill>
            <a:schemeClr val="accent1"/>
          </a:solidFill>
          <a:ln w="19050">
            <a:solidFill>
              <a:schemeClr val="lt1"/>
            </a:solidFill>
          </a:ln>
          <a:effectLst/>
        </c:spPr>
      </c:pivotFmt>
      <c:pivotFmt>
        <c:idx val="19"/>
        <c:spPr>
          <a:solidFill>
            <a:schemeClr val="accent1"/>
          </a:solidFill>
          <a:ln w="19050">
            <a:solidFill>
              <a:schemeClr val="lt1"/>
            </a:solidFill>
          </a:ln>
          <a:effectLst/>
        </c:spPr>
      </c:pivotFmt>
      <c:pivotFmt>
        <c:idx val="20"/>
        <c:spPr>
          <a:solidFill>
            <a:schemeClr val="accent1"/>
          </a:solidFill>
          <a:ln w="19050">
            <a:solidFill>
              <a:schemeClr val="lt1"/>
            </a:solidFill>
          </a:ln>
          <a:effectLst/>
        </c:spPr>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s>
    <c:plotArea>
      <c:layout/>
      <c:pieChart>
        <c:varyColors val="1"/>
        <c:ser>
          <c:idx val="0"/>
          <c:order val="0"/>
          <c:tx>
            <c:strRef>
              <c:f>Suggestion1!$B$2</c:f>
              <c:strCache>
                <c:ptCount val="1"/>
                <c:pt idx="0">
                  <c:v>Total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B50-4E4C-9E9C-2655BEF5CA4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B50-4E4C-9E9C-2655BEF5CA4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B50-4E4C-9E9C-2655BEF5CA4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B50-4E4C-9E9C-2655BEF5CA4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B50-4E4C-9E9C-2655BEF5CA4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7B50-4E4C-9E9C-2655BEF5CA4C}"/>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7B50-4E4C-9E9C-2655BEF5CA4C}"/>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7B50-4E4C-9E9C-2655BEF5CA4C}"/>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7B50-4E4C-9E9C-2655BEF5CA4C}"/>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7B50-4E4C-9E9C-2655BEF5CA4C}"/>
              </c:ext>
            </c:extLst>
          </c:dPt>
          <c:dLbls>
            <c:dLbl>
              <c:idx val="4"/>
              <c:layout/>
              <c:tx>
                <c:rich>
                  <a:bodyPr/>
                  <a:lstStyle/>
                  <a:p>
                    <a:r>
                      <a:rPr lang="en-US"/>
                      <a:t>Nonprofit</a:t>
                    </a:r>
                    <a:r>
                      <a:rPr lang="en-US" baseline="0"/>
                      <a:t>
</a:t>
                    </a:r>
                    <a:fld id="{523CDA9E-0311-C046-B6DC-DBAAABF81061}" type="PERCENTAGE">
                      <a:rPr lang="en-US" baseline="0"/>
                      <a:pPr/>
                      <a:t>[PERCENTAGE]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9-7B50-4E4C-9E9C-2655BEF5CA4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Suggestion1!$A$3:$A$13</c:f>
              <c:strCache>
                <c:ptCount val="10"/>
                <c:pt idx="0">
                  <c:v>Legal</c:v>
                </c:pt>
                <c:pt idx="1">
                  <c:v>Individual/uncoded</c:v>
                </c:pt>
                <c:pt idx="2">
                  <c:v>For-profit business </c:v>
                </c:pt>
                <c:pt idx="3">
                  <c:v>Insurance</c:v>
                </c:pt>
                <c:pt idx="4">
                  <c:v>Non-profit</c:v>
                </c:pt>
                <c:pt idx="5">
                  <c:v>Media</c:v>
                </c:pt>
                <c:pt idx="6">
                  <c:v>Government </c:v>
                </c:pt>
                <c:pt idx="7">
                  <c:v>Academic</c:v>
                </c:pt>
                <c:pt idx="8">
                  <c:v>Lobbyists</c:v>
                </c:pt>
                <c:pt idx="9">
                  <c:v>Union</c:v>
                </c:pt>
              </c:strCache>
            </c:strRef>
          </c:cat>
          <c:val>
            <c:numRef>
              <c:f>Suggestion1!$B$3:$B$13</c:f>
              <c:numCache>
                <c:formatCode>General</c:formatCode>
                <c:ptCount val="10"/>
                <c:pt idx="0">
                  <c:v>2468</c:v>
                </c:pt>
                <c:pt idx="1">
                  <c:v>2306</c:v>
                </c:pt>
                <c:pt idx="2">
                  <c:v>510</c:v>
                </c:pt>
                <c:pt idx="3">
                  <c:v>311</c:v>
                </c:pt>
                <c:pt idx="4">
                  <c:v>170</c:v>
                </c:pt>
                <c:pt idx="5">
                  <c:v>153</c:v>
                </c:pt>
                <c:pt idx="6">
                  <c:v>90</c:v>
                </c:pt>
                <c:pt idx="7">
                  <c:v>27</c:v>
                </c:pt>
                <c:pt idx="8">
                  <c:v>11</c:v>
                </c:pt>
                <c:pt idx="9">
                  <c:v>3</c:v>
                </c:pt>
              </c:numCache>
            </c:numRef>
          </c:val>
          <c:extLst>
            <c:ext xmlns:c16="http://schemas.microsoft.com/office/drawing/2014/chart" uri="{C3380CC4-5D6E-409C-BE32-E72D297353CC}">
              <c16:uniqueId val="{00000014-7B50-4E4C-9E9C-2655BEF5CA4C}"/>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[DEP Log January 2020-April 2021.xlsx]Suggestion3!PivotTable3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DEP</a:t>
            </a:r>
          </a:p>
        </c:rich>
      </c:tx>
      <c:layout>
        <c:manualLayout>
          <c:xMode val="edge"/>
          <c:yMode val="edge"/>
          <c:x val="0.59111926605504594"/>
          <c:y val="1.792114695340501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pivotFmt>
      <c:pivotFmt>
        <c:idx val="2"/>
        <c:spPr>
          <a:solidFill>
            <a:schemeClr val="accent3"/>
          </a:solidFill>
          <a:ln w="19050">
            <a:solidFill>
              <a:schemeClr val="lt1"/>
            </a:solidFill>
          </a:ln>
          <a:effectLst/>
        </c:spPr>
      </c:pivotFmt>
      <c:pivotFmt>
        <c:idx val="3"/>
        <c:spPr>
          <a:solidFill>
            <a:schemeClr val="accent1">
              <a:lumMod val="50000"/>
            </a:schemeClr>
          </a:solidFill>
          <a:ln w="19050">
            <a:solidFill>
              <a:schemeClr val="lt1"/>
            </a:solidFill>
          </a:ln>
          <a:effectLst/>
        </c:spPr>
      </c:pivotFmt>
      <c:pivotFmt>
        <c:idx val="4"/>
        <c:spPr>
          <a:solidFill>
            <a:schemeClr val="accent5"/>
          </a:solidFill>
          <a:ln w="19050">
            <a:solidFill>
              <a:schemeClr val="lt1"/>
            </a:solidFill>
          </a:ln>
          <a:effectLst/>
        </c:spPr>
      </c:pivotFmt>
      <c:pivotFmt>
        <c:idx val="5"/>
        <c:spPr>
          <a:solidFill>
            <a:schemeClr val="accent6"/>
          </a:solidFill>
          <a:ln w="19050">
            <a:solidFill>
              <a:schemeClr val="lt1"/>
            </a:solidFill>
          </a:ln>
          <a:effectLst/>
        </c:spPr>
      </c:pivotFmt>
      <c:pivotFmt>
        <c:idx val="6"/>
        <c:spPr>
          <a:solidFill>
            <a:schemeClr val="accent2">
              <a:lumMod val="75000"/>
            </a:schemeClr>
          </a:solidFill>
          <a:ln w="19050">
            <a:solidFill>
              <a:schemeClr val="lt1"/>
            </a:solidFill>
          </a:ln>
          <a:effectLst/>
        </c:spPr>
      </c:pivotFmt>
      <c:pivotFmt>
        <c:idx val="7"/>
        <c:spPr>
          <a:solidFill>
            <a:schemeClr val="accent4"/>
          </a:solidFill>
          <a:ln w="19050">
            <a:solidFill>
              <a:schemeClr val="lt1"/>
            </a:solidFill>
          </a:ln>
          <a:effectLst/>
        </c:spPr>
      </c:pivotFmt>
      <c:pivotFmt>
        <c:idx val="8"/>
        <c:spPr>
          <a:solidFill>
            <a:schemeClr val="accent3">
              <a:lumMod val="50000"/>
            </a:schemeClr>
          </a:solidFill>
          <a:ln w="19050">
            <a:solidFill>
              <a:schemeClr val="lt1"/>
            </a:solidFill>
          </a:ln>
          <a:effectLst/>
        </c:spPr>
      </c:pivotFmt>
      <c:pivotFmt>
        <c:idx val="9"/>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10"/>
        <c:spPr>
          <a:solidFill>
            <a:schemeClr val="accent3"/>
          </a:solidFill>
          <a:ln w="19050">
            <a:solidFill>
              <a:schemeClr val="lt1"/>
            </a:solidFill>
          </a:ln>
          <a:effectLst/>
        </c:spPr>
      </c:pivotFmt>
      <c:pivotFmt>
        <c:idx val="11"/>
        <c:spPr>
          <a:solidFill>
            <a:schemeClr val="accent1"/>
          </a:solidFill>
          <a:ln w="19050">
            <a:solidFill>
              <a:schemeClr val="lt1"/>
            </a:solidFill>
          </a:ln>
          <a:effectLst/>
        </c:spPr>
      </c:pivotFmt>
      <c:pivotFmt>
        <c:idx val="12"/>
        <c:spPr>
          <a:solidFill>
            <a:schemeClr val="accent1"/>
          </a:solidFill>
          <a:ln w="19050">
            <a:solidFill>
              <a:schemeClr val="lt1"/>
            </a:solidFill>
          </a:ln>
          <a:effectLst/>
        </c:spPr>
      </c:pivotFmt>
      <c:pivotFmt>
        <c:idx val="13"/>
        <c:spPr>
          <a:solidFill>
            <a:schemeClr val="accent1">
              <a:lumMod val="50000"/>
            </a:schemeClr>
          </a:solidFill>
          <a:ln w="19050">
            <a:solidFill>
              <a:schemeClr val="lt1"/>
            </a:solidFill>
          </a:ln>
          <a:effectLst/>
        </c:spPr>
      </c:pivotFmt>
      <c:pivotFmt>
        <c:idx val="14"/>
        <c:spPr>
          <a:solidFill>
            <a:schemeClr val="accent1"/>
          </a:solidFill>
          <a:ln w="19050">
            <a:solidFill>
              <a:schemeClr val="lt1"/>
            </a:solidFill>
          </a:ln>
          <a:effectLst/>
        </c:spPr>
      </c:pivotFmt>
      <c:pivotFmt>
        <c:idx val="15"/>
        <c:spPr>
          <a:solidFill>
            <a:schemeClr val="accent1"/>
          </a:solidFill>
          <a:ln w="19050">
            <a:solidFill>
              <a:schemeClr val="lt1"/>
            </a:solidFill>
          </a:ln>
          <a:effectLst/>
        </c:spPr>
      </c:pivotFmt>
      <c:pivotFmt>
        <c:idx val="16"/>
        <c:spPr>
          <a:solidFill>
            <a:schemeClr val="accent2">
              <a:lumMod val="75000"/>
            </a:schemeClr>
          </a:solidFill>
          <a:ln w="19050">
            <a:solidFill>
              <a:schemeClr val="lt1"/>
            </a:solidFill>
          </a:ln>
          <a:effectLst/>
        </c:spPr>
      </c:pivotFmt>
      <c:pivotFmt>
        <c:idx val="17"/>
        <c:spPr>
          <a:solidFill>
            <a:schemeClr val="accent4"/>
          </a:solidFill>
          <a:ln w="19050">
            <a:solidFill>
              <a:schemeClr val="lt1"/>
            </a:solidFill>
          </a:ln>
          <a:effectLst/>
        </c:spPr>
      </c:pivotFmt>
      <c:pivotFmt>
        <c:idx val="18"/>
        <c:spPr>
          <a:solidFill>
            <a:schemeClr val="accent3">
              <a:lumMod val="50000"/>
            </a:schemeClr>
          </a:solidFill>
          <a:ln w="19050">
            <a:solidFill>
              <a:schemeClr val="lt1"/>
            </a:solidFill>
          </a:ln>
          <a:effectLst/>
        </c:spPr>
      </c:pivotFmt>
      <c:pivotFmt>
        <c:idx val="19"/>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20"/>
        <c:spPr>
          <a:solidFill>
            <a:schemeClr val="accent3"/>
          </a:solidFill>
          <a:ln w="19050">
            <a:solidFill>
              <a:schemeClr val="lt1"/>
            </a:solidFill>
          </a:ln>
          <a:effectLst/>
        </c:spPr>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lumMod val="50000"/>
            </a:schemeClr>
          </a:solidFill>
          <a:ln w="19050">
            <a:solidFill>
              <a:schemeClr val="lt1"/>
            </a:solidFill>
          </a:ln>
          <a:effectLst/>
        </c:spPr>
      </c:pivotFmt>
      <c:pivotFmt>
        <c:idx val="24"/>
        <c:spPr>
          <a:solidFill>
            <a:schemeClr val="accent1"/>
          </a:solidFill>
          <a:ln w="19050">
            <a:solidFill>
              <a:schemeClr val="lt1"/>
            </a:solidFill>
          </a:ln>
          <a:effectLst/>
        </c:spPr>
      </c:pivotFmt>
      <c:pivotFmt>
        <c:idx val="25"/>
        <c:spPr>
          <a:solidFill>
            <a:schemeClr val="accent1"/>
          </a:solidFill>
          <a:ln w="19050">
            <a:solidFill>
              <a:schemeClr val="lt1"/>
            </a:solidFill>
          </a:ln>
          <a:effectLst/>
        </c:spPr>
      </c:pivotFmt>
      <c:pivotFmt>
        <c:idx val="26"/>
        <c:spPr>
          <a:solidFill>
            <a:schemeClr val="accent2">
              <a:lumMod val="75000"/>
            </a:schemeClr>
          </a:solidFill>
          <a:ln w="19050">
            <a:solidFill>
              <a:schemeClr val="lt1"/>
            </a:solidFill>
          </a:ln>
          <a:effectLst/>
        </c:spPr>
      </c:pivotFmt>
      <c:pivotFmt>
        <c:idx val="27"/>
        <c:spPr>
          <a:solidFill>
            <a:schemeClr val="accent4"/>
          </a:solidFill>
          <a:ln w="19050">
            <a:solidFill>
              <a:schemeClr val="lt1"/>
            </a:solidFill>
          </a:ln>
          <a:effectLst/>
        </c:spPr>
      </c:pivotFmt>
      <c:pivotFmt>
        <c:idx val="28"/>
        <c:spPr>
          <a:solidFill>
            <a:schemeClr val="accent3">
              <a:lumMod val="50000"/>
            </a:schemeClr>
          </a:solidFill>
          <a:ln w="19050">
            <a:solidFill>
              <a:schemeClr val="lt1"/>
            </a:solidFill>
          </a:ln>
          <a:effectLst/>
        </c:spPr>
      </c:pivotFmt>
    </c:pivotFmts>
    <c:plotArea>
      <c:layout>
        <c:manualLayout>
          <c:layoutTarget val="inner"/>
          <c:xMode val="edge"/>
          <c:yMode val="edge"/>
          <c:x val="0.12406971600460054"/>
          <c:y val="0.33546598836665609"/>
          <c:w val="0.48179366948189384"/>
          <c:h val="0.66203714440683037"/>
        </c:manualLayout>
      </c:layout>
      <c:pieChart>
        <c:varyColors val="1"/>
        <c:ser>
          <c:idx val="0"/>
          <c:order val="0"/>
          <c:tx>
            <c:strRef>
              <c:f>Suggestion3!$B$2</c:f>
              <c:strCache>
                <c:ptCount val="1"/>
                <c:pt idx="0">
                  <c:v>Total</c:v>
                </c:pt>
              </c:strCache>
            </c:strRef>
          </c:tx>
          <c:dPt>
            <c:idx val="0"/>
            <c:bubble3D val="0"/>
            <c:spPr>
              <a:solidFill>
                <a:schemeClr val="accent3"/>
              </a:solidFill>
              <a:ln w="19050">
                <a:solidFill>
                  <a:schemeClr val="lt1"/>
                </a:solidFill>
              </a:ln>
              <a:effectLst/>
            </c:spPr>
            <c:extLst>
              <c:ext xmlns:c16="http://schemas.microsoft.com/office/drawing/2014/chart" uri="{C3380CC4-5D6E-409C-BE32-E72D297353CC}">
                <c16:uniqueId val="{00000001-A1A0-DA45-B081-78A3D579848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1A0-DA45-B081-78A3D5798482}"/>
              </c:ext>
            </c:extLst>
          </c:dPt>
          <c:dPt>
            <c:idx val="2"/>
            <c:bubble3D val="0"/>
            <c:spPr>
              <a:solidFill>
                <a:schemeClr val="accent1"/>
              </a:solidFill>
              <a:ln w="19050">
                <a:solidFill>
                  <a:schemeClr val="lt1"/>
                </a:solidFill>
              </a:ln>
              <a:effectLst/>
            </c:spPr>
            <c:extLst>
              <c:ext xmlns:c16="http://schemas.microsoft.com/office/drawing/2014/chart" uri="{C3380CC4-5D6E-409C-BE32-E72D297353CC}">
                <c16:uniqueId val="{00000005-A1A0-DA45-B081-78A3D5798482}"/>
              </c:ext>
            </c:extLst>
          </c:dPt>
          <c:dPt>
            <c:idx val="3"/>
            <c:bubble3D val="0"/>
            <c:spPr>
              <a:solidFill>
                <a:schemeClr val="accent1">
                  <a:lumMod val="50000"/>
                </a:schemeClr>
              </a:solidFill>
              <a:ln w="19050">
                <a:solidFill>
                  <a:schemeClr val="lt1"/>
                </a:solidFill>
              </a:ln>
              <a:effectLst/>
            </c:spPr>
            <c:extLst>
              <c:ext xmlns:c16="http://schemas.microsoft.com/office/drawing/2014/chart" uri="{C3380CC4-5D6E-409C-BE32-E72D297353CC}">
                <c16:uniqueId val="{00000007-A1A0-DA45-B081-78A3D579848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1A0-DA45-B081-78A3D5798482}"/>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A1A0-DA45-B081-78A3D5798482}"/>
              </c:ext>
            </c:extLst>
          </c:dPt>
          <c:dPt>
            <c:idx val="6"/>
            <c:bubble3D val="0"/>
            <c:spPr>
              <a:solidFill>
                <a:schemeClr val="accent2">
                  <a:lumMod val="75000"/>
                </a:schemeClr>
              </a:solidFill>
              <a:ln w="19050">
                <a:solidFill>
                  <a:schemeClr val="lt1"/>
                </a:solidFill>
              </a:ln>
              <a:effectLst/>
            </c:spPr>
            <c:extLst>
              <c:ext xmlns:c16="http://schemas.microsoft.com/office/drawing/2014/chart" uri="{C3380CC4-5D6E-409C-BE32-E72D297353CC}">
                <c16:uniqueId val="{0000000D-A1A0-DA45-B081-78A3D5798482}"/>
              </c:ext>
            </c:extLst>
          </c:dPt>
          <c:dPt>
            <c:idx val="7"/>
            <c:bubble3D val="0"/>
            <c:spPr>
              <a:solidFill>
                <a:schemeClr val="accent4"/>
              </a:solidFill>
              <a:ln w="19050">
                <a:solidFill>
                  <a:schemeClr val="lt1"/>
                </a:solidFill>
              </a:ln>
              <a:effectLst/>
            </c:spPr>
            <c:extLst>
              <c:ext xmlns:c16="http://schemas.microsoft.com/office/drawing/2014/chart" uri="{C3380CC4-5D6E-409C-BE32-E72D297353CC}">
                <c16:uniqueId val="{0000000F-A1A0-DA45-B081-78A3D5798482}"/>
              </c:ext>
            </c:extLst>
          </c:dPt>
          <c:dPt>
            <c:idx val="8"/>
            <c:bubble3D val="0"/>
            <c:spPr>
              <a:solidFill>
                <a:schemeClr val="accent3">
                  <a:lumMod val="50000"/>
                </a:schemeClr>
              </a:solidFill>
              <a:ln w="19050">
                <a:solidFill>
                  <a:schemeClr val="lt1"/>
                </a:solidFill>
              </a:ln>
              <a:effectLst/>
            </c:spPr>
            <c:extLst>
              <c:ext xmlns:c16="http://schemas.microsoft.com/office/drawing/2014/chart" uri="{C3380CC4-5D6E-409C-BE32-E72D297353CC}">
                <c16:uniqueId val="{00000011-A1A0-DA45-B081-78A3D5798482}"/>
              </c:ext>
            </c:extLst>
          </c:dPt>
          <c:dLbls>
            <c:dLbl>
              <c:idx val="1"/>
              <c:layout>
                <c:manualLayout>
                  <c:x val="1.8826368894418689E-3"/>
                  <c:y val="3.6704439442036989E-2"/>
                </c:manualLayout>
              </c:layout>
              <c:showLegendKey val="0"/>
              <c:showVal val="0"/>
              <c:showCatName val="1"/>
              <c:showSerName val="0"/>
              <c:showPercent val="1"/>
              <c:showBubbleSize val="0"/>
              <c:extLst>
                <c:ext xmlns:c15="http://schemas.microsoft.com/office/drawing/2012/chart" uri="{CE6537A1-D6FC-4f65-9D91-7224C49458BB}">
                  <c15:layout>
                    <c:manualLayout>
                      <c:w val="0.3042783799201369"/>
                      <c:h val="0.14539037351426906"/>
                    </c:manualLayout>
                  </c15:layout>
                </c:ext>
                <c:ext xmlns:c16="http://schemas.microsoft.com/office/drawing/2014/chart" uri="{C3380CC4-5D6E-409C-BE32-E72D297353CC}">
                  <c16:uniqueId val="{00000003-A1A0-DA45-B081-78A3D5798482}"/>
                </c:ext>
              </c:extLst>
            </c:dLbl>
            <c:dLbl>
              <c:idx val="4"/>
              <c:layout/>
              <c:tx>
                <c:rich>
                  <a:bodyPr/>
                  <a:lstStyle/>
                  <a:p>
                    <a:r>
                      <a:rPr lang="en-US" baseline="0"/>
                      <a:t>Nonprofit
</a:t>
                    </a:r>
                    <a:fld id="{5C9673C3-C337-1A4A-927A-50E80EB53AF5}" type="PERCENTAGE">
                      <a:rPr lang="en-US" baseline="0"/>
                      <a:pPr/>
                      <a:t>[PERCENTAGE]</a:t>
                    </a:fld>
                    <a:endParaRPr lang="en-US" baseline="0"/>
                  </a:p>
                </c:rich>
              </c:tx>
              <c:showLegendKey val="0"/>
              <c:showVal val="0"/>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9-A1A0-DA45-B081-78A3D57984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Suggestion3!$A$3:$A$12</c:f>
              <c:strCache>
                <c:ptCount val="9"/>
                <c:pt idx="0">
                  <c:v>For-profit</c:v>
                </c:pt>
                <c:pt idx="1">
                  <c:v>Individual/Uncoded</c:v>
                </c:pt>
                <c:pt idx="2">
                  <c:v>Legal</c:v>
                </c:pt>
                <c:pt idx="3">
                  <c:v>Government</c:v>
                </c:pt>
                <c:pt idx="4">
                  <c:v>Non-profit</c:v>
                </c:pt>
                <c:pt idx="5">
                  <c:v>Media</c:v>
                </c:pt>
                <c:pt idx="6">
                  <c:v>Academic</c:v>
                </c:pt>
                <c:pt idx="7">
                  <c:v>Insurance</c:v>
                </c:pt>
                <c:pt idx="8">
                  <c:v>Lobbyists</c:v>
                </c:pt>
              </c:strCache>
            </c:strRef>
          </c:cat>
          <c:val>
            <c:numRef>
              <c:f>Suggestion3!$B$3:$B$12</c:f>
              <c:numCache>
                <c:formatCode>#,##0</c:formatCode>
                <c:ptCount val="9"/>
                <c:pt idx="0">
                  <c:v>3955</c:v>
                </c:pt>
                <c:pt idx="1">
                  <c:v>930</c:v>
                </c:pt>
                <c:pt idx="2">
                  <c:v>453</c:v>
                </c:pt>
                <c:pt idx="3">
                  <c:v>153</c:v>
                </c:pt>
                <c:pt idx="4">
                  <c:v>91</c:v>
                </c:pt>
                <c:pt idx="5">
                  <c:v>58</c:v>
                </c:pt>
                <c:pt idx="6">
                  <c:v>33</c:v>
                </c:pt>
                <c:pt idx="7">
                  <c:v>5</c:v>
                </c:pt>
                <c:pt idx="8">
                  <c:v>4</c:v>
                </c:pt>
              </c:numCache>
            </c:numRef>
          </c:val>
          <c:extLst>
            <c:ext xmlns:c16="http://schemas.microsoft.com/office/drawing/2014/chart" uri="{C3380CC4-5D6E-409C-BE32-E72D297353CC}">
              <c16:uniqueId val="{00000012-A1A0-DA45-B081-78A3D5798482}"/>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 of DACS.xlsm]Suggestion1!PivotTable1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DACS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6"/>
          </a:solidFill>
          <a:ln w="19050">
            <a:solidFill>
              <a:schemeClr val="lt1"/>
            </a:solidFill>
          </a:ln>
          <a:effectLst/>
        </c:spPr>
        <c:dLbl>
          <c:idx val="0"/>
          <c:layout>
            <c:manualLayout>
              <c:x val="-0.15599070051588379"/>
              <c:y val="6.7194339837955044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2"/>
        <c:spPr>
          <a:solidFill>
            <a:schemeClr val="accent5"/>
          </a:solidFill>
          <a:ln w="19050">
            <a:solidFill>
              <a:schemeClr val="lt1"/>
            </a:solidFill>
          </a:ln>
          <a:effectLst/>
        </c:spPr>
        <c:dLbl>
          <c:idx val="0"/>
          <c:layout>
            <c:manualLayout>
              <c:x val="-0.12686300796452168"/>
              <c:y val="1.5252082620107269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2"/>
          </a:solidFill>
          <a:ln w="19050">
            <a:solidFill>
              <a:schemeClr val="lt1"/>
            </a:solidFill>
          </a:ln>
          <a:effectLst/>
        </c:spPr>
      </c:pivotFmt>
      <c:pivotFmt>
        <c:idx val="4"/>
        <c:spPr>
          <a:solidFill>
            <a:schemeClr val="accent1">
              <a:lumMod val="50000"/>
            </a:schemeClr>
          </a:solidFill>
          <a:ln w="19050">
            <a:solidFill>
              <a:schemeClr val="lt1"/>
            </a:solidFill>
          </a:ln>
          <a:effectLst/>
        </c:spPr>
        <c:dLbl>
          <c:idx val="0"/>
          <c:layout>
            <c:manualLayout>
              <c:x val="1.3356186080188253E-2"/>
              <c:y val="-6.4795161474380915E-4"/>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5"/>
        <c:spPr>
          <a:solidFill>
            <a:schemeClr val="accent1"/>
          </a:solidFill>
          <a:ln w="19050">
            <a:solidFill>
              <a:schemeClr val="lt1"/>
            </a:solidFill>
          </a:ln>
          <a:effectLst/>
        </c:spPr>
      </c:pivotFmt>
      <c:pivotFmt>
        <c:idx val="6"/>
        <c:spPr>
          <a:solidFill>
            <a:schemeClr val="accent2">
              <a:lumMod val="75000"/>
            </a:schemeClr>
          </a:solidFill>
          <a:ln w="19050">
            <a:solidFill>
              <a:schemeClr val="lt1"/>
            </a:solidFill>
          </a:ln>
          <a:effectLst/>
        </c:spPr>
      </c:pivotFmt>
      <c:pivotFmt>
        <c:idx val="7"/>
        <c:spPr>
          <a:solidFill>
            <a:schemeClr val="accent3">
              <a:lumMod val="50000"/>
            </a:schemeClr>
          </a:solidFill>
          <a:ln w="19050">
            <a:solidFill>
              <a:schemeClr val="lt1"/>
            </a:solidFill>
          </a:ln>
          <a:effectLst/>
        </c:spPr>
      </c:pivotFmt>
      <c:pivotFmt>
        <c:idx val="8"/>
        <c:spPr>
          <a:solidFill>
            <a:schemeClr val="accent2">
              <a:lumMod val="50000"/>
            </a:schemeClr>
          </a:solidFill>
          <a:ln w="19050">
            <a:solidFill>
              <a:schemeClr val="lt1"/>
            </a:solidFill>
          </a:ln>
          <a:effectLst/>
        </c:spPr>
      </c:pivotFmt>
      <c:pivotFmt>
        <c:idx val="9"/>
        <c:spPr>
          <a:solidFill>
            <a:schemeClr val="accent1"/>
          </a:solidFill>
          <a:ln w="19050">
            <a:solidFill>
              <a:schemeClr val="lt1"/>
            </a:solidFill>
          </a:ln>
          <a:effectLst/>
        </c:spPr>
      </c:pivotFmt>
      <c:pivotFmt>
        <c:idx val="10"/>
        <c:spPr>
          <a:solidFill>
            <a:schemeClr val="accent4"/>
          </a:solidFill>
          <a:ln w="19050">
            <a:solidFill>
              <a:schemeClr val="lt1"/>
            </a:solidFill>
          </a:ln>
          <a:effectLst/>
        </c:spPr>
      </c:pivotFmt>
      <c:pivotFmt>
        <c:idx val="1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12"/>
        <c:spPr>
          <a:solidFill>
            <a:schemeClr val="accent2"/>
          </a:solidFill>
          <a:ln w="19050">
            <a:solidFill>
              <a:schemeClr val="lt1"/>
            </a:solidFill>
          </a:ln>
          <a:effectLst/>
        </c:spPr>
      </c:pivotFmt>
      <c:pivotFmt>
        <c:idx val="13"/>
        <c:spPr>
          <a:solidFill>
            <a:schemeClr val="accent1">
              <a:lumMod val="50000"/>
            </a:schemeClr>
          </a:solidFill>
          <a:ln w="19050">
            <a:solidFill>
              <a:schemeClr val="lt1"/>
            </a:solidFill>
          </a:ln>
          <a:effectLst/>
        </c:spPr>
        <c:dLbl>
          <c:idx val="0"/>
          <c:layout>
            <c:manualLayout>
              <c:x val="1.3356186080188253E-2"/>
              <c:y val="-6.4795161474380915E-4"/>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14"/>
        <c:spPr>
          <a:solidFill>
            <a:schemeClr val="accent1"/>
          </a:solidFill>
          <a:ln w="19050">
            <a:solidFill>
              <a:schemeClr val="lt1"/>
            </a:solidFill>
          </a:ln>
          <a:effectLst/>
        </c:spPr>
      </c:pivotFmt>
      <c:pivotFmt>
        <c:idx val="15"/>
        <c:spPr>
          <a:solidFill>
            <a:schemeClr val="accent1"/>
          </a:solidFill>
          <a:ln w="19050">
            <a:solidFill>
              <a:schemeClr val="lt1"/>
            </a:solidFill>
          </a:ln>
          <a:effectLst/>
        </c:spPr>
      </c:pivotFmt>
      <c:pivotFmt>
        <c:idx val="16"/>
        <c:spPr>
          <a:solidFill>
            <a:schemeClr val="accent6"/>
          </a:solidFill>
          <a:ln w="19050">
            <a:solidFill>
              <a:schemeClr val="lt1"/>
            </a:solidFill>
          </a:ln>
          <a:effectLst/>
        </c:spPr>
        <c:dLbl>
          <c:idx val="0"/>
          <c:layout>
            <c:manualLayout>
              <c:x val="-0.15599070051588379"/>
              <c:y val="6.7194339837955044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17"/>
        <c:spPr>
          <a:solidFill>
            <a:schemeClr val="accent5"/>
          </a:solidFill>
          <a:ln w="19050">
            <a:solidFill>
              <a:schemeClr val="lt1"/>
            </a:solidFill>
          </a:ln>
          <a:effectLst/>
        </c:spPr>
        <c:dLbl>
          <c:idx val="0"/>
          <c:layout>
            <c:manualLayout>
              <c:x val="-0.12686300796452168"/>
              <c:y val="1.5252082620107269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2">
              <a:lumMod val="75000"/>
            </a:schemeClr>
          </a:solidFill>
          <a:ln w="19050">
            <a:solidFill>
              <a:schemeClr val="lt1"/>
            </a:solidFill>
          </a:ln>
          <a:effectLst/>
        </c:spPr>
      </c:pivotFmt>
      <c:pivotFmt>
        <c:idx val="19"/>
        <c:spPr>
          <a:solidFill>
            <a:schemeClr val="accent4"/>
          </a:solidFill>
          <a:ln w="19050">
            <a:solidFill>
              <a:schemeClr val="lt1"/>
            </a:solidFill>
          </a:ln>
          <a:effectLst/>
        </c:spPr>
      </c:pivotFmt>
      <c:pivotFmt>
        <c:idx val="20"/>
        <c:spPr>
          <a:solidFill>
            <a:schemeClr val="accent3">
              <a:lumMod val="50000"/>
            </a:schemeClr>
          </a:solidFill>
          <a:ln w="19050">
            <a:solidFill>
              <a:schemeClr val="lt1"/>
            </a:solidFill>
          </a:ln>
          <a:effectLst/>
        </c:spPr>
      </c:pivotFmt>
      <c:pivotFmt>
        <c:idx val="21"/>
        <c:spPr>
          <a:solidFill>
            <a:schemeClr val="accent2">
              <a:lumMod val="50000"/>
            </a:schemeClr>
          </a:solidFill>
          <a:ln w="19050">
            <a:solidFill>
              <a:schemeClr val="lt1"/>
            </a:solidFill>
          </a:ln>
          <a:effectLst/>
        </c:spPr>
      </c:pivotFmt>
      <c:pivotFmt>
        <c:idx val="2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23"/>
        <c:spPr>
          <a:solidFill>
            <a:schemeClr val="accent2"/>
          </a:solidFill>
          <a:ln w="19050">
            <a:solidFill>
              <a:schemeClr val="lt1"/>
            </a:solidFill>
          </a:ln>
          <a:effectLst/>
        </c:spPr>
      </c:pivotFmt>
      <c:pivotFmt>
        <c:idx val="24"/>
        <c:spPr>
          <a:solidFill>
            <a:schemeClr val="accent1">
              <a:lumMod val="50000"/>
            </a:schemeClr>
          </a:solidFill>
          <a:ln w="19050">
            <a:solidFill>
              <a:schemeClr val="lt1"/>
            </a:solidFill>
          </a:ln>
          <a:effectLst/>
        </c:spPr>
        <c:dLbl>
          <c:idx val="0"/>
          <c:layout>
            <c:manualLayout>
              <c:x val="1.3356186080188253E-2"/>
              <c:y val="-6.4795161474380915E-4"/>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pivotFmt>
      <c:pivotFmt>
        <c:idx val="27"/>
        <c:spPr>
          <a:solidFill>
            <a:schemeClr val="accent6"/>
          </a:solidFill>
          <a:ln w="19050">
            <a:solidFill>
              <a:schemeClr val="lt1"/>
            </a:solidFill>
          </a:ln>
          <a:effectLst/>
        </c:spPr>
        <c:dLbl>
          <c:idx val="0"/>
          <c:layout>
            <c:manualLayout>
              <c:x val="-0.15599070051588379"/>
              <c:y val="6.7194339837955044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28"/>
        <c:spPr>
          <a:solidFill>
            <a:schemeClr val="accent5"/>
          </a:solidFill>
          <a:ln w="19050">
            <a:solidFill>
              <a:schemeClr val="lt1"/>
            </a:solidFill>
          </a:ln>
          <a:effectLst/>
        </c:spPr>
        <c:dLbl>
          <c:idx val="0"/>
          <c:layout>
            <c:manualLayout>
              <c:x val="-0.12686300796452168"/>
              <c:y val="1.5252082620107269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2">
              <a:lumMod val="75000"/>
            </a:schemeClr>
          </a:solidFill>
          <a:ln w="19050">
            <a:solidFill>
              <a:schemeClr val="lt1"/>
            </a:solidFill>
          </a:ln>
          <a:effectLst/>
        </c:spPr>
      </c:pivotFmt>
      <c:pivotFmt>
        <c:idx val="30"/>
        <c:spPr>
          <a:solidFill>
            <a:schemeClr val="accent4"/>
          </a:solidFill>
          <a:ln w="19050">
            <a:solidFill>
              <a:schemeClr val="lt1"/>
            </a:solidFill>
          </a:ln>
          <a:effectLst/>
        </c:spPr>
      </c:pivotFmt>
      <c:pivotFmt>
        <c:idx val="31"/>
        <c:spPr>
          <a:solidFill>
            <a:schemeClr val="accent3">
              <a:lumMod val="50000"/>
            </a:schemeClr>
          </a:solidFill>
          <a:ln w="19050">
            <a:solidFill>
              <a:schemeClr val="lt1"/>
            </a:solidFill>
          </a:ln>
          <a:effectLst/>
        </c:spPr>
      </c:pivotFmt>
      <c:pivotFmt>
        <c:idx val="32"/>
        <c:spPr>
          <a:solidFill>
            <a:schemeClr val="accent2">
              <a:lumMod val="50000"/>
            </a:schemeClr>
          </a:solidFill>
          <a:ln w="19050">
            <a:solidFill>
              <a:schemeClr val="lt1"/>
            </a:solidFill>
          </a:ln>
          <a:effectLst/>
        </c:spPr>
      </c:pivotFmt>
    </c:pivotFmts>
    <c:plotArea>
      <c:layout/>
      <c:pieChart>
        <c:varyColors val="1"/>
        <c:ser>
          <c:idx val="0"/>
          <c:order val="0"/>
          <c:tx>
            <c:strRef>
              <c:f>Suggestion1!$B$2</c:f>
              <c:strCache>
                <c:ptCount val="1"/>
                <c:pt idx="0">
                  <c:v>Total</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D8BF-FB44-B6A2-D6E21C5721FC}"/>
              </c:ext>
            </c:extLst>
          </c:dPt>
          <c:dPt>
            <c:idx val="1"/>
            <c:bubble3D val="0"/>
            <c:spPr>
              <a:solidFill>
                <a:schemeClr val="accent1">
                  <a:lumMod val="50000"/>
                </a:schemeClr>
              </a:solidFill>
              <a:ln w="19050">
                <a:solidFill>
                  <a:schemeClr val="lt1"/>
                </a:solidFill>
              </a:ln>
              <a:effectLst/>
            </c:spPr>
            <c:extLst>
              <c:ext xmlns:c16="http://schemas.microsoft.com/office/drawing/2014/chart" uri="{C3380CC4-5D6E-409C-BE32-E72D297353CC}">
                <c16:uniqueId val="{00000003-D8BF-FB44-B6A2-D6E21C5721F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8BF-FB44-B6A2-D6E21C5721FC}"/>
              </c:ext>
            </c:extLst>
          </c:dPt>
          <c:dPt>
            <c:idx val="3"/>
            <c:bubble3D val="0"/>
            <c:spPr>
              <a:solidFill>
                <a:schemeClr val="accent1"/>
              </a:solidFill>
              <a:ln w="19050">
                <a:solidFill>
                  <a:schemeClr val="lt1"/>
                </a:solidFill>
              </a:ln>
              <a:effectLst/>
            </c:spPr>
            <c:extLst>
              <c:ext xmlns:c16="http://schemas.microsoft.com/office/drawing/2014/chart" uri="{C3380CC4-5D6E-409C-BE32-E72D297353CC}">
                <c16:uniqueId val="{00000007-D8BF-FB44-B6A2-D6E21C5721FC}"/>
              </c:ext>
            </c:extLst>
          </c:dPt>
          <c:dPt>
            <c:idx val="4"/>
            <c:bubble3D val="0"/>
            <c:spPr>
              <a:solidFill>
                <a:schemeClr val="accent6"/>
              </a:solidFill>
              <a:ln w="19050">
                <a:solidFill>
                  <a:schemeClr val="lt1"/>
                </a:solidFill>
              </a:ln>
              <a:effectLst/>
            </c:spPr>
            <c:extLst>
              <c:ext xmlns:c16="http://schemas.microsoft.com/office/drawing/2014/chart" uri="{C3380CC4-5D6E-409C-BE32-E72D297353CC}">
                <c16:uniqueId val="{00000009-D8BF-FB44-B6A2-D6E21C5721FC}"/>
              </c:ext>
            </c:extLst>
          </c:dPt>
          <c:dPt>
            <c:idx val="5"/>
            <c:bubble3D val="0"/>
            <c:spPr>
              <a:solidFill>
                <a:schemeClr val="accent5"/>
              </a:solidFill>
              <a:ln w="19050">
                <a:solidFill>
                  <a:schemeClr val="lt1"/>
                </a:solidFill>
              </a:ln>
              <a:effectLst/>
            </c:spPr>
            <c:extLst>
              <c:ext xmlns:c16="http://schemas.microsoft.com/office/drawing/2014/chart" uri="{C3380CC4-5D6E-409C-BE32-E72D297353CC}">
                <c16:uniqueId val="{0000000B-D8BF-FB44-B6A2-D6E21C5721FC}"/>
              </c:ext>
            </c:extLst>
          </c:dPt>
          <c:dPt>
            <c:idx val="6"/>
            <c:bubble3D val="0"/>
            <c:spPr>
              <a:solidFill>
                <a:schemeClr val="accent2">
                  <a:lumMod val="75000"/>
                </a:schemeClr>
              </a:solidFill>
              <a:ln w="19050">
                <a:solidFill>
                  <a:schemeClr val="lt1"/>
                </a:solidFill>
              </a:ln>
              <a:effectLst/>
            </c:spPr>
            <c:extLst>
              <c:ext xmlns:c16="http://schemas.microsoft.com/office/drawing/2014/chart" uri="{C3380CC4-5D6E-409C-BE32-E72D297353CC}">
                <c16:uniqueId val="{0000000D-D8BF-FB44-B6A2-D6E21C5721FC}"/>
              </c:ext>
            </c:extLst>
          </c:dPt>
          <c:dPt>
            <c:idx val="7"/>
            <c:bubble3D val="0"/>
            <c:spPr>
              <a:solidFill>
                <a:schemeClr val="accent4"/>
              </a:solidFill>
              <a:ln w="19050">
                <a:solidFill>
                  <a:schemeClr val="lt1"/>
                </a:solidFill>
              </a:ln>
              <a:effectLst/>
            </c:spPr>
            <c:extLst>
              <c:ext xmlns:c16="http://schemas.microsoft.com/office/drawing/2014/chart" uri="{C3380CC4-5D6E-409C-BE32-E72D297353CC}">
                <c16:uniqueId val="{0000000F-D8BF-FB44-B6A2-D6E21C5721FC}"/>
              </c:ext>
            </c:extLst>
          </c:dPt>
          <c:dPt>
            <c:idx val="8"/>
            <c:bubble3D val="0"/>
            <c:spPr>
              <a:solidFill>
                <a:schemeClr val="accent3">
                  <a:lumMod val="50000"/>
                </a:schemeClr>
              </a:solidFill>
              <a:ln w="19050">
                <a:solidFill>
                  <a:schemeClr val="lt1"/>
                </a:solidFill>
              </a:ln>
              <a:effectLst/>
            </c:spPr>
            <c:extLst>
              <c:ext xmlns:c16="http://schemas.microsoft.com/office/drawing/2014/chart" uri="{C3380CC4-5D6E-409C-BE32-E72D297353CC}">
                <c16:uniqueId val="{00000011-D8BF-FB44-B6A2-D6E21C5721FC}"/>
              </c:ext>
            </c:extLst>
          </c:dPt>
          <c:dPt>
            <c:idx val="9"/>
            <c:bubble3D val="0"/>
            <c:spPr>
              <a:solidFill>
                <a:schemeClr val="accent2">
                  <a:lumMod val="50000"/>
                </a:schemeClr>
              </a:solidFill>
              <a:ln w="19050">
                <a:solidFill>
                  <a:schemeClr val="lt1"/>
                </a:solidFill>
              </a:ln>
              <a:effectLst/>
            </c:spPr>
            <c:extLst>
              <c:ext xmlns:c16="http://schemas.microsoft.com/office/drawing/2014/chart" uri="{C3380CC4-5D6E-409C-BE32-E72D297353CC}">
                <c16:uniqueId val="{00000013-D8BF-FB44-B6A2-D6E21C5721FC}"/>
              </c:ext>
            </c:extLst>
          </c:dPt>
          <c:dLbls>
            <c:dLbl>
              <c:idx val="0"/>
              <c:layout/>
              <c:tx>
                <c:rich>
                  <a:bodyPr/>
                  <a:lstStyle/>
                  <a:p>
                    <a:r>
                      <a:rPr lang="en-US"/>
                      <a:t> </a:t>
                    </a:r>
                    <a:fld id="{6064A4B8-22F7-6343-A234-00229529E724}" type="CATEGORYNAME">
                      <a:rPr lang="en-US"/>
                      <a:pPr/>
                      <a:t>[CATEGORY NAME]</a:t>
                    </a:fld>
                    <a:r>
                      <a:rPr lang="en-US" baseline="0"/>
                      <a:t>
</a:t>
                    </a:r>
                    <a:fld id="{24EDE86B-7F22-0A4B-AEC8-7325BF3670CC}" type="PERCENTAGE">
                      <a:rPr lang="en-US" baseline="0"/>
                      <a:pPr/>
                      <a:t>[PERCENTAGE]</a:t>
                    </a:fld>
                    <a:endParaRPr lang="en-US" baseline="0"/>
                  </a:p>
                </c:rich>
              </c:tx>
              <c:showLegendKey val="0"/>
              <c:showVal val="0"/>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1-D8BF-FB44-B6A2-D6E21C5721FC}"/>
                </c:ext>
              </c:extLst>
            </c:dLbl>
            <c:dLbl>
              <c:idx val="1"/>
              <c:layout>
                <c:manualLayout>
                  <c:x val="1.3356186080188253E-2"/>
                  <c:y val="-6.4795161474380915E-4"/>
                </c:manualLayout>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D8BF-FB44-B6A2-D6E21C5721FC}"/>
                </c:ext>
              </c:extLst>
            </c:dLbl>
            <c:dLbl>
              <c:idx val="2"/>
              <c:layout>
                <c:manualLayout>
                  <c:x val="1.4951631046119236E-3"/>
                  <c:y val="3.1119816294122291E-2"/>
                </c:manualLayout>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D8BF-FB44-B6A2-D6E21C5721FC}"/>
                </c:ext>
              </c:extLst>
            </c:dLbl>
            <c:dLbl>
              <c:idx val="4"/>
              <c:layout>
                <c:manualLayout>
                  <c:x val="-0.16741927259092612"/>
                  <c:y val="8.0091294407963573E-2"/>
                </c:manualLayout>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9-D8BF-FB44-B6A2-D6E21C5721FC}"/>
                </c:ext>
              </c:extLst>
            </c:dLbl>
            <c:dLbl>
              <c:idx val="5"/>
              <c:layout>
                <c:manualLayout>
                  <c:x val="-0.12686300796452168"/>
                  <c:y val="1.5252082620107269E-2"/>
                </c:manualLayout>
              </c:layout>
              <c:tx>
                <c:rich>
                  <a:bodyPr/>
                  <a:lstStyle/>
                  <a:p>
                    <a:r>
                      <a:rPr lang="en-US"/>
                      <a:t>Nonprofit</a:t>
                    </a:r>
                    <a:r>
                      <a:rPr lang="en-US" baseline="0"/>
                      <a:t>
</a:t>
                    </a:r>
                    <a:fld id="{3AC1DBE7-6703-6E40-8AD0-5A150DF8A0C9}" type="PERCENTAGE">
                      <a:rPr lang="en-US" baseline="0"/>
                      <a:pPr/>
                      <a:t>[PERCENTAGE]</a:t>
                    </a:fld>
                    <a:endParaRPr lang="en-US" baseline="0"/>
                  </a:p>
                </c:rich>
              </c:tx>
              <c:showLegendKey val="0"/>
              <c:showVal val="0"/>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B-D8BF-FB44-B6A2-D6E21C5721F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Suggestion1!$A$3:$A$13</c:f>
              <c:strCache>
                <c:ptCount val="10"/>
                <c:pt idx="0">
                  <c:v>Individual/uncoded</c:v>
                </c:pt>
                <c:pt idx="1">
                  <c:v>Government</c:v>
                </c:pt>
                <c:pt idx="2">
                  <c:v>For-profit business</c:v>
                </c:pt>
                <c:pt idx="3">
                  <c:v>Legal</c:v>
                </c:pt>
                <c:pt idx="4">
                  <c:v>Media</c:v>
                </c:pt>
                <c:pt idx="5">
                  <c:v>Non-profit</c:v>
                </c:pt>
                <c:pt idx="6">
                  <c:v>Academic</c:v>
                </c:pt>
                <c:pt idx="7">
                  <c:v>Insurance</c:v>
                </c:pt>
                <c:pt idx="8">
                  <c:v>Lobbyists</c:v>
                </c:pt>
                <c:pt idx="9">
                  <c:v>Union</c:v>
                </c:pt>
              </c:strCache>
            </c:strRef>
          </c:cat>
          <c:val>
            <c:numRef>
              <c:f>Suggestion1!$B$3:$B$13</c:f>
              <c:numCache>
                <c:formatCode>General</c:formatCode>
                <c:ptCount val="10"/>
                <c:pt idx="0">
                  <c:v>1309</c:v>
                </c:pt>
                <c:pt idx="1">
                  <c:v>914</c:v>
                </c:pt>
                <c:pt idx="2">
                  <c:v>450</c:v>
                </c:pt>
                <c:pt idx="3">
                  <c:v>346</c:v>
                </c:pt>
                <c:pt idx="4">
                  <c:v>67</c:v>
                </c:pt>
                <c:pt idx="5">
                  <c:v>46</c:v>
                </c:pt>
                <c:pt idx="6">
                  <c:v>22</c:v>
                </c:pt>
                <c:pt idx="7">
                  <c:v>8</c:v>
                </c:pt>
                <c:pt idx="8">
                  <c:v>4</c:v>
                </c:pt>
                <c:pt idx="9">
                  <c:v>3</c:v>
                </c:pt>
              </c:numCache>
            </c:numRef>
          </c:val>
          <c:extLst>
            <c:ext xmlns:c16="http://schemas.microsoft.com/office/drawing/2014/chart" uri="{C3380CC4-5D6E-409C-BE32-E72D297353CC}">
              <c16:uniqueId val="{00000014-D8BF-FB44-B6A2-D6E21C5721FC}"/>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 of FAF Dept of Lottery Public Records Requests.xlsx]Suggestion1!PivotTable1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Lottery</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2"/>
          </a:solidFill>
          <a:ln w="19050">
            <a:solidFill>
              <a:schemeClr val="lt1"/>
            </a:solidFill>
          </a:ln>
          <a:effectLst/>
        </c:spPr>
      </c:pivotFmt>
      <c:pivotFmt>
        <c:idx val="2"/>
        <c:spPr>
          <a:solidFill>
            <a:schemeClr val="accent3"/>
          </a:solidFill>
          <a:ln w="19050">
            <a:solidFill>
              <a:schemeClr val="lt1"/>
            </a:solidFill>
          </a:ln>
          <a:effectLst/>
        </c:spPr>
      </c:pivotFmt>
      <c:pivotFmt>
        <c:idx val="3"/>
        <c:spPr>
          <a:solidFill>
            <a:schemeClr val="accent6"/>
          </a:solidFill>
          <a:ln w="19050">
            <a:solidFill>
              <a:schemeClr val="lt1"/>
            </a:solidFill>
          </a:ln>
          <a:effectLst/>
        </c:spPr>
      </c:pivotFmt>
      <c:pivotFmt>
        <c:idx val="4"/>
        <c:spPr>
          <a:solidFill>
            <a:schemeClr val="accent1"/>
          </a:solidFill>
          <a:ln w="19050">
            <a:solidFill>
              <a:schemeClr val="lt1"/>
            </a:solidFill>
          </a:ln>
          <a:effectLst/>
        </c:spPr>
      </c:pivotFmt>
      <c:pivotFmt>
        <c:idx val="5"/>
        <c:spPr>
          <a:solidFill>
            <a:schemeClr val="accent1">
              <a:lumMod val="50000"/>
            </a:schemeClr>
          </a:solidFill>
          <a:ln w="19050">
            <a:solidFill>
              <a:schemeClr val="lt1"/>
            </a:solidFill>
          </a:ln>
          <a:effectLst/>
        </c:spPr>
      </c:pivotFmt>
      <c:pivotFmt>
        <c:idx val="6"/>
        <c:spPr>
          <a:solidFill>
            <a:schemeClr val="accent2">
              <a:lumMod val="50000"/>
            </a:schemeClr>
          </a:solidFill>
          <a:ln w="19050">
            <a:solidFill>
              <a:schemeClr val="lt1"/>
            </a:solidFill>
          </a:ln>
          <a:effectLst/>
        </c:spPr>
      </c:pivotFmt>
      <c:pivotFmt>
        <c:idx val="7"/>
        <c:spPr>
          <a:solidFill>
            <a:schemeClr val="accent2">
              <a:lumMod val="75000"/>
            </a:schemeClr>
          </a:solidFill>
          <a:ln w="19050">
            <a:solidFill>
              <a:schemeClr val="lt1"/>
            </a:solidFill>
          </a:ln>
          <a:effectLst/>
        </c:spPr>
      </c:pivotFmt>
      <c:pivotFmt>
        <c:idx val="8"/>
        <c:spPr>
          <a:solidFill>
            <a:schemeClr val="accent3">
              <a:lumMod val="50000"/>
            </a:schemeClr>
          </a:solidFill>
          <a:ln w="19050">
            <a:solidFill>
              <a:schemeClr val="lt1"/>
            </a:solidFill>
          </a:ln>
          <a:effectLst/>
        </c:spPr>
      </c:pivotFmt>
      <c:pivotFmt>
        <c:idx val="9"/>
        <c:spPr>
          <a:solidFill>
            <a:schemeClr val="accent5"/>
          </a:solidFill>
          <a:ln w="19050">
            <a:solidFill>
              <a:schemeClr val="lt1"/>
            </a:solidFill>
          </a:ln>
          <a:effectLst/>
        </c:spPr>
      </c:pivotFmt>
      <c:pivotFmt>
        <c:idx val="1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11"/>
        <c:spPr>
          <a:solidFill>
            <a:schemeClr val="accent2"/>
          </a:solidFill>
          <a:ln w="19050">
            <a:solidFill>
              <a:schemeClr val="lt1"/>
            </a:solidFill>
          </a:ln>
          <a:effectLst/>
        </c:spPr>
      </c:pivotFmt>
      <c:pivotFmt>
        <c:idx val="12"/>
        <c:spPr>
          <a:solidFill>
            <a:schemeClr val="accent3"/>
          </a:solidFill>
          <a:ln w="19050">
            <a:solidFill>
              <a:schemeClr val="lt1"/>
            </a:solidFill>
          </a:ln>
          <a:effectLst/>
        </c:spPr>
      </c:pivotFmt>
      <c:pivotFmt>
        <c:idx val="13"/>
        <c:spPr>
          <a:solidFill>
            <a:schemeClr val="accent6"/>
          </a:solidFill>
          <a:ln w="19050">
            <a:solidFill>
              <a:schemeClr val="lt1"/>
            </a:solidFill>
          </a:ln>
          <a:effectLst/>
        </c:spPr>
      </c:pivotFmt>
      <c:pivotFmt>
        <c:idx val="14"/>
        <c:spPr>
          <a:solidFill>
            <a:schemeClr val="accent1"/>
          </a:solidFill>
          <a:ln w="19050">
            <a:solidFill>
              <a:schemeClr val="lt1"/>
            </a:solidFill>
          </a:ln>
          <a:effectLst/>
        </c:spPr>
      </c:pivotFmt>
      <c:pivotFmt>
        <c:idx val="15"/>
        <c:spPr>
          <a:solidFill>
            <a:schemeClr val="accent1">
              <a:lumMod val="50000"/>
            </a:schemeClr>
          </a:solidFill>
          <a:ln w="19050">
            <a:solidFill>
              <a:schemeClr val="lt1"/>
            </a:solidFill>
          </a:ln>
          <a:effectLst/>
        </c:spPr>
      </c:pivotFmt>
      <c:pivotFmt>
        <c:idx val="16"/>
        <c:spPr>
          <a:solidFill>
            <a:schemeClr val="accent2">
              <a:lumMod val="50000"/>
            </a:schemeClr>
          </a:solidFill>
          <a:ln w="19050">
            <a:solidFill>
              <a:schemeClr val="lt1"/>
            </a:solidFill>
          </a:ln>
          <a:effectLst/>
        </c:spPr>
      </c:pivotFmt>
      <c:pivotFmt>
        <c:idx val="17"/>
        <c:spPr>
          <a:solidFill>
            <a:schemeClr val="accent2">
              <a:lumMod val="75000"/>
            </a:schemeClr>
          </a:solidFill>
          <a:ln w="19050">
            <a:solidFill>
              <a:schemeClr val="lt1"/>
            </a:solidFill>
          </a:ln>
          <a:effectLst/>
        </c:spPr>
      </c:pivotFmt>
      <c:pivotFmt>
        <c:idx val="18"/>
        <c:spPr>
          <a:solidFill>
            <a:schemeClr val="accent5"/>
          </a:solidFill>
          <a:ln w="19050">
            <a:solidFill>
              <a:schemeClr val="lt1"/>
            </a:solidFill>
          </a:ln>
          <a:effectLst/>
        </c:spPr>
      </c:pivotFmt>
      <c:pivotFmt>
        <c:idx val="19"/>
        <c:spPr>
          <a:solidFill>
            <a:schemeClr val="accent1"/>
          </a:solidFill>
          <a:ln w="19050">
            <a:solidFill>
              <a:schemeClr val="lt1"/>
            </a:solidFill>
          </a:ln>
          <a:effectLst/>
        </c:spPr>
      </c:pivotFmt>
      <c:pivotFmt>
        <c:idx val="20"/>
        <c:spPr>
          <a:solidFill>
            <a:schemeClr val="accent3">
              <a:lumMod val="50000"/>
            </a:schemeClr>
          </a:solidFill>
          <a:ln w="19050">
            <a:solidFill>
              <a:schemeClr val="lt1"/>
            </a:solidFill>
          </a:ln>
          <a:effectLst/>
        </c:spPr>
      </c:pivotFmt>
      <c:pivotFmt>
        <c:idx val="2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22"/>
        <c:spPr>
          <a:solidFill>
            <a:schemeClr val="accent2"/>
          </a:solidFill>
          <a:ln w="19050">
            <a:solidFill>
              <a:schemeClr val="lt1"/>
            </a:solidFill>
          </a:ln>
          <a:effectLst/>
        </c:spPr>
      </c:pivotFmt>
      <c:pivotFmt>
        <c:idx val="23"/>
        <c:spPr>
          <a:solidFill>
            <a:schemeClr val="accent3"/>
          </a:solidFill>
          <a:ln w="19050">
            <a:solidFill>
              <a:schemeClr val="lt1"/>
            </a:solidFill>
          </a:ln>
          <a:effectLst/>
        </c:spPr>
      </c:pivotFmt>
      <c:pivotFmt>
        <c:idx val="24"/>
        <c:spPr>
          <a:solidFill>
            <a:schemeClr val="accent6"/>
          </a:solidFill>
          <a:ln w="19050">
            <a:solidFill>
              <a:schemeClr val="lt1"/>
            </a:solidFill>
          </a:ln>
          <a:effectLst/>
        </c:spPr>
      </c:pivotFmt>
      <c:pivotFmt>
        <c:idx val="25"/>
        <c:spPr>
          <a:solidFill>
            <a:schemeClr val="accent1"/>
          </a:solidFill>
          <a:ln w="19050">
            <a:solidFill>
              <a:schemeClr val="lt1"/>
            </a:solidFill>
          </a:ln>
          <a:effectLst/>
        </c:spPr>
      </c:pivotFmt>
      <c:pivotFmt>
        <c:idx val="26"/>
        <c:spPr>
          <a:solidFill>
            <a:schemeClr val="accent1">
              <a:lumMod val="50000"/>
            </a:schemeClr>
          </a:solidFill>
          <a:ln w="19050">
            <a:solidFill>
              <a:schemeClr val="lt1"/>
            </a:solidFill>
          </a:ln>
          <a:effectLst/>
        </c:spPr>
      </c:pivotFmt>
      <c:pivotFmt>
        <c:idx val="27"/>
        <c:spPr>
          <a:solidFill>
            <a:schemeClr val="accent2">
              <a:lumMod val="50000"/>
            </a:schemeClr>
          </a:solidFill>
          <a:ln w="19050">
            <a:solidFill>
              <a:schemeClr val="lt1"/>
            </a:solidFill>
          </a:ln>
          <a:effectLst/>
        </c:spPr>
      </c:pivotFmt>
      <c:pivotFmt>
        <c:idx val="28"/>
        <c:spPr>
          <a:solidFill>
            <a:schemeClr val="accent2">
              <a:lumMod val="75000"/>
            </a:schemeClr>
          </a:solidFill>
          <a:ln w="19050">
            <a:solidFill>
              <a:schemeClr val="lt1"/>
            </a:solidFill>
          </a:ln>
          <a:effectLst/>
        </c:spPr>
      </c:pivotFmt>
      <c:pivotFmt>
        <c:idx val="29"/>
        <c:spPr>
          <a:solidFill>
            <a:schemeClr val="accent5"/>
          </a:solidFill>
          <a:ln w="19050">
            <a:solidFill>
              <a:schemeClr val="lt1"/>
            </a:solidFill>
          </a:ln>
          <a:effectLst/>
        </c:spPr>
      </c:pivotFmt>
      <c:pivotFmt>
        <c:idx val="30"/>
        <c:spPr>
          <a:solidFill>
            <a:schemeClr val="accent1"/>
          </a:solidFill>
          <a:ln w="19050">
            <a:solidFill>
              <a:schemeClr val="lt1"/>
            </a:solidFill>
          </a:ln>
          <a:effectLst/>
        </c:spPr>
      </c:pivotFmt>
      <c:pivotFmt>
        <c:idx val="31"/>
        <c:spPr>
          <a:solidFill>
            <a:schemeClr val="accent3">
              <a:lumMod val="50000"/>
            </a:schemeClr>
          </a:solidFill>
          <a:ln w="19050">
            <a:solidFill>
              <a:schemeClr val="lt1"/>
            </a:solidFill>
          </a:ln>
          <a:effectLst/>
        </c:spPr>
      </c:pivotFmt>
    </c:pivotFmts>
    <c:plotArea>
      <c:layout/>
      <c:pieChart>
        <c:varyColors val="1"/>
        <c:ser>
          <c:idx val="0"/>
          <c:order val="0"/>
          <c:tx>
            <c:strRef>
              <c:f>Suggestion1!$B$2</c:f>
              <c:strCache>
                <c:ptCount val="1"/>
                <c:pt idx="0">
                  <c:v>Total</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E739-8146-B864-8AA3EB1F231D}"/>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E739-8146-B864-8AA3EB1F231D}"/>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E739-8146-B864-8AA3EB1F231D}"/>
              </c:ext>
            </c:extLst>
          </c:dPt>
          <c:dPt>
            <c:idx val="3"/>
            <c:bubble3D val="0"/>
            <c:spPr>
              <a:solidFill>
                <a:schemeClr val="accent1"/>
              </a:solidFill>
              <a:ln w="19050">
                <a:solidFill>
                  <a:schemeClr val="lt1"/>
                </a:solidFill>
              </a:ln>
              <a:effectLst/>
            </c:spPr>
            <c:extLst>
              <c:ext xmlns:c16="http://schemas.microsoft.com/office/drawing/2014/chart" uri="{C3380CC4-5D6E-409C-BE32-E72D297353CC}">
                <c16:uniqueId val="{00000007-E739-8146-B864-8AA3EB1F231D}"/>
              </c:ext>
            </c:extLst>
          </c:dPt>
          <c:dPt>
            <c:idx val="4"/>
            <c:bubble3D val="0"/>
            <c:spPr>
              <a:solidFill>
                <a:schemeClr val="accent1">
                  <a:lumMod val="50000"/>
                </a:schemeClr>
              </a:solidFill>
              <a:ln w="19050">
                <a:solidFill>
                  <a:schemeClr val="lt1"/>
                </a:solidFill>
              </a:ln>
              <a:effectLst/>
            </c:spPr>
            <c:extLst>
              <c:ext xmlns:c16="http://schemas.microsoft.com/office/drawing/2014/chart" uri="{C3380CC4-5D6E-409C-BE32-E72D297353CC}">
                <c16:uniqueId val="{00000009-E739-8146-B864-8AA3EB1F231D}"/>
              </c:ext>
            </c:extLst>
          </c:dPt>
          <c:dPt>
            <c:idx val="5"/>
            <c:bubble3D val="0"/>
            <c:spPr>
              <a:solidFill>
                <a:schemeClr val="accent2">
                  <a:lumMod val="50000"/>
                </a:schemeClr>
              </a:solidFill>
              <a:ln w="19050">
                <a:solidFill>
                  <a:schemeClr val="lt1"/>
                </a:solidFill>
              </a:ln>
              <a:effectLst/>
            </c:spPr>
            <c:extLst>
              <c:ext xmlns:c16="http://schemas.microsoft.com/office/drawing/2014/chart" uri="{C3380CC4-5D6E-409C-BE32-E72D297353CC}">
                <c16:uniqueId val="{0000000B-E739-8146-B864-8AA3EB1F231D}"/>
              </c:ext>
            </c:extLst>
          </c:dPt>
          <c:dPt>
            <c:idx val="6"/>
            <c:bubble3D val="0"/>
            <c:spPr>
              <a:solidFill>
                <a:schemeClr val="accent2">
                  <a:lumMod val="75000"/>
                </a:schemeClr>
              </a:solidFill>
              <a:ln w="19050">
                <a:solidFill>
                  <a:schemeClr val="lt1"/>
                </a:solidFill>
              </a:ln>
              <a:effectLst/>
            </c:spPr>
            <c:extLst>
              <c:ext xmlns:c16="http://schemas.microsoft.com/office/drawing/2014/chart" uri="{C3380CC4-5D6E-409C-BE32-E72D297353CC}">
                <c16:uniqueId val="{0000000D-E739-8146-B864-8AA3EB1F231D}"/>
              </c:ext>
            </c:extLst>
          </c:dPt>
          <c:dPt>
            <c:idx val="7"/>
            <c:bubble3D val="0"/>
            <c:spPr>
              <a:solidFill>
                <a:schemeClr val="accent5"/>
              </a:solidFill>
              <a:ln w="19050">
                <a:solidFill>
                  <a:schemeClr val="lt1"/>
                </a:solidFill>
              </a:ln>
              <a:effectLst/>
            </c:spPr>
            <c:extLst>
              <c:ext xmlns:c16="http://schemas.microsoft.com/office/drawing/2014/chart" uri="{C3380CC4-5D6E-409C-BE32-E72D297353CC}">
                <c16:uniqueId val="{0000000F-E739-8146-B864-8AA3EB1F231D}"/>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E739-8146-B864-8AA3EB1F231D}"/>
              </c:ext>
            </c:extLst>
          </c:dPt>
          <c:dPt>
            <c:idx val="9"/>
            <c:bubble3D val="0"/>
            <c:spPr>
              <a:solidFill>
                <a:schemeClr val="accent3">
                  <a:lumMod val="50000"/>
                </a:schemeClr>
              </a:solidFill>
              <a:ln w="19050">
                <a:solidFill>
                  <a:schemeClr val="lt1"/>
                </a:solidFill>
              </a:ln>
              <a:effectLst/>
            </c:spPr>
            <c:extLst>
              <c:ext xmlns:c16="http://schemas.microsoft.com/office/drawing/2014/chart" uri="{C3380CC4-5D6E-409C-BE32-E72D297353CC}">
                <c16:uniqueId val="{00000013-E739-8146-B864-8AA3EB1F231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Suggestion1!$A$3:$A$13</c:f>
              <c:strCache>
                <c:ptCount val="10"/>
                <c:pt idx="0">
                  <c:v>Individual/uncoded</c:v>
                </c:pt>
                <c:pt idx="1">
                  <c:v>For-profit business</c:v>
                </c:pt>
                <c:pt idx="2">
                  <c:v>Media</c:v>
                </c:pt>
                <c:pt idx="3">
                  <c:v>Legal</c:v>
                </c:pt>
                <c:pt idx="4">
                  <c:v>Government</c:v>
                </c:pt>
                <c:pt idx="5">
                  <c:v>Union</c:v>
                </c:pt>
                <c:pt idx="6">
                  <c:v>Academic</c:v>
                </c:pt>
                <c:pt idx="7">
                  <c:v>Non-profit</c:v>
                </c:pt>
                <c:pt idx="8">
                  <c:v>Insurance</c:v>
                </c:pt>
                <c:pt idx="9">
                  <c:v>Lobbyists</c:v>
                </c:pt>
              </c:strCache>
            </c:strRef>
          </c:cat>
          <c:val>
            <c:numRef>
              <c:f>Suggestion1!$B$3:$B$13</c:f>
              <c:numCache>
                <c:formatCode>General</c:formatCode>
                <c:ptCount val="10"/>
                <c:pt idx="0">
                  <c:v>270</c:v>
                </c:pt>
                <c:pt idx="1">
                  <c:v>254</c:v>
                </c:pt>
                <c:pt idx="2">
                  <c:v>38</c:v>
                </c:pt>
                <c:pt idx="3">
                  <c:v>21</c:v>
                </c:pt>
                <c:pt idx="4">
                  <c:v>8</c:v>
                </c:pt>
                <c:pt idx="5">
                  <c:v>4</c:v>
                </c:pt>
                <c:pt idx="6">
                  <c:v>3</c:v>
                </c:pt>
                <c:pt idx="7">
                  <c:v>2</c:v>
                </c:pt>
                <c:pt idx="8">
                  <c:v>1</c:v>
                </c:pt>
                <c:pt idx="9">
                  <c:v>1</c:v>
                </c:pt>
              </c:numCache>
            </c:numRef>
          </c:val>
          <c:extLst>
            <c:ext xmlns:c16="http://schemas.microsoft.com/office/drawing/2014/chart" uri="{C3380CC4-5D6E-409C-BE32-E72D297353CC}">
              <c16:uniqueId val="{00000014-E739-8146-B864-8AA3EB1F231D}"/>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[EOG log Jan 20--APR 21.xlsx]Suggestion3!PivotTable3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EOG</a:t>
            </a:r>
          </a:p>
        </c:rich>
      </c:tx>
      <c:layout>
        <c:manualLayout>
          <c:xMode val="edge"/>
          <c:yMode val="edge"/>
          <c:x val="0.65599355802570003"/>
          <c:y val="2.912621359223301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6"/>
          </a:solidFill>
          <a:ln w="19050">
            <a:solidFill>
              <a:schemeClr val="lt1"/>
            </a:solidFill>
          </a:ln>
          <a:effectLst/>
        </c:spPr>
      </c:pivotFmt>
      <c:pivotFmt>
        <c:idx val="2"/>
        <c:spPr>
          <a:solidFill>
            <a:schemeClr val="accent5"/>
          </a:solidFill>
          <a:ln w="19050">
            <a:solidFill>
              <a:schemeClr val="lt1"/>
            </a:solidFill>
          </a:ln>
          <a:effectLst/>
        </c:spPr>
      </c:pivotFmt>
      <c:pivotFmt>
        <c:idx val="3"/>
        <c:spPr>
          <a:solidFill>
            <a:schemeClr val="accent1"/>
          </a:solidFill>
          <a:ln w="19050">
            <a:solidFill>
              <a:schemeClr val="lt1"/>
            </a:solidFill>
          </a:ln>
          <a:effectLst/>
        </c:spPr>
      </c:pivotFmt>
      <c:pivotFmt>
        <c:idx val="4"/>
        <c:spPr>
          <a:solidFill>
            <a:schemeClr val="accent1">
              <a:lumMod val="50000"/>
            </a:schemeClr>
          </a:solidFill>
          <a:ln w="19050">
            <a:solidFill>
              <a:schemeClr val="lt1"/>
            </a:solidFill>
          </a:ln>
          <a:effectLst/>
        </c:spPr>
      </c:pivotFmt>
      <c:pivotFmt>
        <c:idx val="5"/>
        <c:spPr>
          <a:solidFill>
            <a:schemeClr val="accent4"/>
          </a:solidFill>
          <a:ln w="19050">
            <a:solidFill>
              <a:schemeClr val="lt1"/>
            </a:solidFill>
          </a:ln>
          <a:effectLst/>
        </c:spPr>
      </c:pivotFmt>
      <c:pivotFmt>
        <c:idx val="6"/>
        <c:spPr>
          <a:solidFill>
            <a:schemeClr val="accent2">
              <a:lumMod val="75000"/>
            </a:schemeClr>
          </a:solidFill>
          <a:ln w="19050">
            <a:solidFill>
              <a:schemeClr val="lt1"/>
            </a:solidFill>
          </a:ln>
          <a:effectLst/>
        </c:spPr>
      </c:pivotFmt>
      <c:pivotFmt>
        <c:idx val="7"/>
        <c:spPr>
          <a:solidFill>
            <a:schemeClr val="accent3">
              <a:lumMod val="50000"/>
            </a:schemeClr>
          </a:solidFill>
          <a:ln w="19050">
            <a:solidFill>
              <a:schemeClr val="lt1"/>
            </a:solidFill>
          </a:ln>
          <a:effectLst/>
        </c:spPr>
      </c:pivotFmt>
      <c:pivotFmt>
        <c:idx val="8"/>
        <c:spPr>
          <a:solidFill>
            <a:schemeClr val="accent1"/>
          </a:solidFill>
          <a:ln w="19050">
            <a:solidFill>
              <a:schemeClr val="lt1"/>
            </a:solidFill>
          </a:ln>
          <a:effectLst/>
        </c:spPr>
      </c:pivotFmt>
      <c:pivotFmt>
        <c:idx val="9"/>
        <c:spPr>
          <a:solidFill>
            <a:schemeClr val="accent3"/>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D7BF28C1-4FDC-9A4F-8386-57BB5C93A48F}" type="CATEGORYNAME">
                  <a:rPr lang="en-US"/>
                  <a:pPr>
                    <a:defRPr sz="900" b="0" i="0" u="none" strike="noStrike" kern="1200" baseline="0">
                      <a:solidFill>
                        <a:schemeClr val="tx1">
                          <a:lumMod val="75000"/>
                          <a:lumOff val="25000"/>
                        </a:schemeClr>
                      </a:solidFill>
                      <a:latin typeface="+mn-lt"/>
                      <a:ea typeface="+mn-ea"/>
                      <a:cs typeface="+mn-cs"/>
                    </a:defRPr>
                  </a:pPr>
                  <a:t>[CATEGORY NAME]</a:t>
                </a:fld>
                <a:r>
                  <a:rPr lang="en-US" baseline="0"/>
                  <a:t>
</a:t>
                </a:r>
                <a:fld id="{835E1FFA-8821-F642-B08A-8E820CD97E90}" type="PERCENTAGE">
                  <a:rPr lang="en-US" baseline="0"/>
                  <a:pPr>
                    <a:defRPr sz="900" b="0" i="0" u="none" strike="noStrike" kern="1200" baseline="0">
                      <a:solidFill>
                        <a:schemeClr val="tx1">
                          <a:lumMod val="75000"/>
                          <a:lumOff val="25000"/>
                        </a:schemeClr>
                      </a:solidFill>
                      <a:latin typeface="+mn-lt"/>
                      <a:ea typeface="+mn-ea"/>
                      <a:cs typeface="+mn-cs"/>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1"/>
          <c:showBubbleSize val="0"/>
          <c:extLst>
            <c:ext xmlns:c15="http://schemas.microsoft.com/office/drawing/2012/chart" uri="{CE6537A1-D6FC-4f65-9D91-7224C49458BB}">
              <c15:dlblFieldTable/>
              <c15:showDataLabelsRange val="0"/>
            </c:ext>
          </c:extLst>
        </c:dLbl>
      </c:pivotFmt>
      <c:pivotFmt>
        <c:idx val="1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11"/>
        <c:spPr>
          <a:solidFill>
            <a:schemeClr val="accent6"/>
          </a:solidFill>
          <a:ln w="19050">
            <a:solidFill>
              <a:schemeClr val="lt1"/>
            </a:solidFill>
          </a:ln>
          <a:effectLst/>
        </c:spPr>
      </c:pivotFmt>
      <c:pivotFmt>
        <c:idx val="12"/>
        <c:spPr>
          <a:solidFill>
            <a:schemeClr val="accent1"/>
          </a:solidFill>
          <a:ln w="19050">
            <a:solidFill>
              <a:schemeClr val="lt1"/>
            </a:solidFill>
          </a:ln>
          <a:effectLst/>
        </c:spPr>
      </c:pivotFmt>
      <c:pivotFmt>
        <c:idx val="13"/>
        <c:spPr>
          <a:solidFill>
            <a:schemeClr val="accent5"/>
          </a:solidFill>
          <a:ln w="19050">
            <a:solidFill>
              <a:schemeClr val="lt1"/>
            </a:solidFill>
          </a:ln>
          <a:effectLst/>
        </c:spPr>
      </c:pivotFmt>
      <c:pivotFmt>
        <c:idx val="14"/>
        <c:spPr>
          <a:solidFill>
            <a:schemeClr val="accent1"/>
          </a:solidFill>
          <a:ln w="19050">
            <a:solidFill>
              <a:schemeClr val="lt1"/>
            </a:solidFill>
          </a:ln>
          <a:effectLst/>
        </c:spPr>
      </c:pivotFmt>
      <c:pivotFmt>
        <c:idx val="15"/>
        <c:spPr>
          <a:solidFill>
            <a:schemeClr val="accent1">
              <a:lumMod val="50000"/>
            </a:schemeClr>
          </a:solidFill>
          <a:ln w="19050">
            <a:solidFill>
              <a:schemeClr val="lt1"/>
            </a:solidFill>
          </a:ln>
          <a:effectLst/>
        </c:spPr>
      </c:pivotFmt>
      <c:pivotFmt>
        <c:idx val="16"/>
        <c:spPr>
          <a:solidFill>
            <a:schemeClr val="accent3"/>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D7BF28C1-4FDC-9A4F-8386-57BB5C93A48F}" type="CATEGORYNAME">
                  <a:rPr lang="en-US"/>
                  <a:pPr>
                    <a:defRPr sz="900" b="0" i="0" u="none" strike="noStrike" kern="1200" baseline="0">
                      <a:solidFill>
                        <a:schemeClr val="tx1">
                          <a:lumMod val="75000"/>
                          <a:lumOff val="25000"/>
                        </a:schemeClr>
                      </a:solidFill>
                      <a:latin typeface="+mn-lt"/>
                      <a:ea typeface="+mn-ea"/>
                      <a:cs typeface="+mn-cs"/>
                    </a:defRPr>
                  </a:pPr>
                  <a:t>[CATEGORY NAME]</a:t>
                </a:fld>
                <a:r>
                  <a:rPr lang="en-US" baseline="0"/>
                  <a:t>
</a:t>
                </a:r>
                <a:fld id="{835E1FFA-8821-F642-B08A-8E820CD97E90}" type="PERCENTAGE">
                  <a:rPr lang="en-US" baseline="0"/>
                  <a:pPr>
                    <a:defRPr sz="900" b="0" i="0" u="none" strike="noStrike" kern="1200" baseline="0">
                      <a:solidFill>
                        <a:schemeClr val="tx1">
                          <a:lumMod val="75000"/>
                          <a:lumOff val="25000"/>
                        </a:schemeClr>
                      </a:solidFill>
                      <a:latin typeface="+mn-lt"/>
                      <a:ea typeface="+mn-ea"/>
                      <a:cs typeface="+mn-cs"/>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1"/>
          <c:showBubbleSize val="0"/>
          <c:extLst>
            <c:ext xmlns:c15="http://schemas.microsoft.com/office/drawing/2012/chart" uri="{CE6537A1-D6FC-4f65-9D91-7224C49458BB}">
              <c15:dlblFieldTable/>
              <c15:showDataLabelsRange val="0"/>
            </c:ext>
          </c:extLst>
        </c:dLbl>
      </c:pivotFmt>
      <c:pivotFmt>
        <c:idx val="17"/>
        <c:spPr>
          <a:solidFill>
            <a:schemeClr val="accent4"/>
          </a:solidFill>
          <a:ln w="19050">
            <a:solidFill>
              <a:schemeClr val="lt1"/>
            </a:solidFill>
          </a:ln>
          <a:effectLst/>
        </c:spPr>
      </c:pivotFmt>
      <c:pivotFmt>
        <c:idx val="18"/>
        <c:spPr>
          <a:solidFill>
            <a:schemeClr val="accent2">
              <a:lumMod val="75000"/>
            </a:schemeClr>
          </a:solidFill>
          <a:ln w="19050">
            <a:solidFill>
              <a:schemeClr val="lt1"/>
            </a:solidFill>
          </a:ln>
          <a:effectLst/>
        </c:spPr>
      </c:pivotFmt>
      <c:pivotFmt>
        <c:idx val="19"/>
        <c:spPr>
          <a:solidFill>
            <a:schemeClr val="accent3">
              <a:lumMod val="50000"/>
            </a:schemeClr>
          </a:solidFill>
          <a:ln w="19050">
            <a:solidFill>
              <a:schemeClr val="lt1"/>
            </a:solidFill>
          </a:ln>
          <a:effectLst/>
        </c:spPr>
      </c:pivotFmt>
      <c:pivotFmt>
        <c:idx val="2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21"/>
        <c:spPr>
          <a:solidFill>
            <a:schemeClr val="accent6"/>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5"/>
          </a:solidFill>
          <a:ln w="19050">
            <a:solidFill>
              <a:schemeClr val="lt1"/>
            </a:solidFill>
          </a:ln>
          <a:effectLst/>
        </c:spPr>
      </c:pivotFmt>
      <c:pivotFmt>
        <c:idx val="24"/>
        <c:spPr>
          <a:solidFill>
            <a:schemeClr val="accent1"/>
          </a:solidFill>
          <a:ln w="19050">
            <a:solidFill>
              <a:schemeClr val="lt1"/>
            </a:solidFill>
          </a:ln>
          <a:effectLst/>
        </c:spPr>
      </c:pivotFmt>
      <c:pivotFmt>
        <c:idx val="25"/>
        <c:spPr>
          <a:solidFill>
            <a:schemeClr val="accent1">
              <a:lumMod val="50000"/>
            </a:schemeClr>
          </a:solidFill>
          <a:ln w="19050">
            <a:solidFill>
              <a:schemeClr val="lt1"/>
            </a:solidFill>
          </a:ln>
          <a:effectLst/>
        </c:spPr>
      </c:pivotFmt>
      <c:pivotFmt>
        <c:idx val="26"/>
        <c:spPr>
          <a:solidFill>
            <a:schemeClr val="accent3"/>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D7BF28C1-4FDC-9A4F-8386-57BB5C93A48F}" type="CATEGORYNAME">
                  <a:rPr lang="en-US"/>
                  <a:pPr>
                    <a:defRPr sz="900" b="0" i="0" u="none" strike="noStrike" kern="1200" baseline="0">
                      <a:solidFill>
                        <a:schemeClr val="tx1">
                          <a:lumMod val="75000"/>
                          <a:lumOff val="25000"/>
                        </a:schemeClr>
                      </a:solidFill>
                      <a:latin typeface="+mn-lt"/>
                      <a:ea typeface="+mn-ea"/>
                      <a:cs typeface="+mn-cs"/>
                    </a:defRPr>
                  </a:pPr>
                  <a:t>[CATEGORY NAME]</a:t>
                </a:fld>
                <a:r>
                  <a:rPr lang="en-US" baseline="0"/>
                  <a:t>
</a:t>
                </a:r>
                <a:fld id="{835E1FFA-8821-F642-B08A-8E820CD97E90}" type="PERCENTAGE">
                  <a:rPr lang="en-US" baseline="0"/>
                  <a:pPr>
                    <a:defRPr sz="900" b="0" i="0" u="none" strike="noStrike" kern="1200" baseline="0">
                      <a:solidFill>
                        <a:schemeClr val="tx1">
                          <a:lumMod val="75000"/>
                          <a:lumOff val="25000"/>
                        </a:schemeClr>
                      </a:solidFill>
                      <a:latin typeface="+mn-lt"/>
                      <a:ea typeface="+mn-ea"/>
                      <a:cs typeface="+mn-cs"/>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1"/>
          <c:showBubbleSize val="0"/>
          <c:extLst>
            <c:ext xmlns:c15="http://schemas.microsoft.com/office/drawing/2012/chart" uri="{CE6537A1-D6FC-4f65-9D91-7224C49458BB}">
              <c15:dlblFieldTable/>
              <c15:showDataLabelsRange val="0"/>
            </c:ext>
          </c:extLst>
        </c:dLbl>
      </c:pivotFmt>
      <c:pivotFmt>
        <c:idx val="27"/>
        <c:spPr>
          <a:solidFill>
            <a:schemeClr val="accent4"/>
          </a:solidFill>
          <a:ln w="19050">
            <a:solidFill>
              <a:schemeClr val="lt1"/>
            </a:solidFill>
          </a:ln>
          <a:effectLst/>
        </c:spPr>
      </c:pivotFmt>
      <c:pivotFmt>
        <c:idx val="28"/>
        <c:spPr>
          <a:solidFill>
            <a:schemeClr val="accent2">
              <a:lumMod val="75000"/>
            </a:schemeClr>
          </a:solidFill>
          <a:ln w="19050">
            <a:solidFill>
              <a:schemeClr val="lt1"/>
            </a:solidFill>
          </a:ln>
          <a:effectLst/>
        </c:spPr>
      </c:pivotFmt>
      <c:pivotFmt>
        <c:idx val="29"/>
        <c:spPr>
          <a:solidFill>
            <a:schemeClr val="accent3">
              <a:lumMod val="50000"/>
            </a:schemeClr>
          </a:solidFill>
          <a:ln w="19050">
            <a:solidFill>
              <a:schemeClr val="lt1"/>
            </a:solidFill>
          </a:ln>
          <a:effectLst/>
        </c:spPr>
      </c:pivotFmt>
    </c:pivotFmts>
    <c:plotArea>
      <c:layout/>
      <c:pieChart>
        <c:varyColors val="1"/>
        <c:ser>
          <c:idx val="0"/>
          <c:order val="0"/>
          <c:tx>
            <c:strRef>
              <c:f>Suggestion3!$B$2</c:f>
              <c:strCache>
                <c:ptCount val="1"/>
                <c:pt idx="0">
                  <c:v>Total</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9D75-734C-83F3-67C75CB3979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D75-734C-83F3-67C75CB3979B}"/>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9D75-734C-83F3-67C75CB3979B}"/>
              </c:ext>
            </c:extLst>
          </c:dPt>
          <c:dPt>
            <c:idx val="3"/>
            <c:bubble3D val="0"/>
            <c:spPr>
              <a:solidFill>
                <a:schemeClr val="accent1"/>
              </a:solidFill>
              <a:ln w="19050">
                <a:solidFill>
                  <a:schemeClr val="lt1"/>
                </a:solidFill>
              </a:ln>
              <a:effectLst/>
            </c:spPr>
            <c:extLst>
              <c:ext xmlns:c16="http://schemas.microsoft.com/office/drawing/2014/chart" uri="{C3380CC4-5D6E-409C-BE32-E72D297353CC}">
                <c16:uniqueId val="{00000007-9D75-734C-83F3-67C75CB3979B}"/>
              </c:ext>
            </c:extLst>
          </c:dPt>
          <c:dPt>
            <c:idx val="4"/>
            <c:bubble3D val="0"/>
            <c:spPr>
              <a:solidFill>
                <a:schemeClr val="accent1">
                  <a:lumMod val="50000"/>
                </a:schemeClr>
              </a:solidFill>
              <a:ln w="19050">
                <a:solidFill>
                  <a:schemeClr val="lt1"/>
                </a:solidFill>
              </a:ln>
              <a:effectLst/>
            </c:spPr>
            <c:extLst>
              <c:ext xmlns:c16="http://schemas.microsoft.com/office/drawing/2014/chart" uri="{C3380CC4-5D6E-409C-BE32-E72D297353CC}">
                <c16:uniqueId val="{00000009-9D75-734C-83F3-67C75CB3979B}"/>
              </c:ext>
            </c:extLst>
          </c:dPt>
          <c:dPt>
            <c:idx val="5"/>
            <c:bubble3D val="0"/>
            <c:spPr>
              <a:solidFill>
                <a:schemeClr val="accent3"/>
              </a:solidFill>
              <a:ln w="19050">
                <a:solidFill>
                  <a:schemeClr val="lt1"/>
                </a:solidFill>
              </a:ln>
              <a:effectLst/>
            </c:spPr>
            <c:extLst>
              <c:ext xmlns:c16="http://schemas.microsoft.com/office/drawing/2014/chart" uri="{C3380CC4-5D6E-409C-BE32-E72D297353CC}">
                <c16:uniqueId val="{0000000B-9D75-734C-83F3-67C75CB3979B}"/>
              </c:ext>
            </c:extLst>
          </c:dPt>
          <c:dPt>
            <c:idx val="6"/>
            <c:bubble3D val="0"/>
            <c:spPr>
              <a:solidFill>
                <a:schemeClr val="accent4"/>
              </a:solidFill>
              <a:ln w="19050">
                <a:solidFill>
                  <a:schemeClr val="lt1"/>
                </a:solidFill>
              </a:ln>
              <a:effectLst/>
            </c:spPr>
            <c:extLst>
              <c:ext xmlns:c16="http://schemas.microsoft.com/office/drawing/2014/chart" uri="{C3380CC4-5D6E-409C-BE32-E72D297353CC}">
                <c16:uniqueId val="{0000000D-9D75-734C-83F3-67C75CB3979B}"/>
              </c:ext>
            </c:extLst>
          </c:dPt>
          <c:dPt>
            <c:idx val="7"/>
            <c:bubble3D val="0"/>
            <c:spPr>
              <a:solidFill>
                <a:schemeClr val="accent2">
                  <a:lumMod val="75000"/>
                </a:schemeClr>
              </a:solidFill>
              <a:ln w="19050">
                <a:solidFill>
                  <a:schemeClr val="lt1"/>
                </a:solidFill>
              </a:ln>
              <a:effectLst/>
            </c:spPr>
            <c:extLst>
              <c:ext xmlns:c16="http://schemas.microsoft.com/office/drawing/2014/chart" uri="{C3380CC4-5D6E-409C-BE32-E72D297353CC}">
                <c16:uniqueId val="{0000000F-9D75-734C-83F3-67C75CB3979B}"/>
              </c:ext>
            </c:extLst>
          </c:dPt>
          <c:dPt>
            <c:idx val="8"/>
            <c:bubble3D val="0"/>
            <c:spPr>
              <a:solidFill>
                <a:schemeClr val="accent3">
                  <a:lumMod val="50000"/>
                </a:schemeClr>
              </a:solidFill>
              <a:ln w="19050">
                <a:solidFill>
                  <a:schemeClr val="lt1"/>
                </a:solidFill>
              </a:ln>
              <a:effectLst/>
            </c:spPr>
            <c:extLst>
              <c:ext xmlns:c16="http://schemas.microsoft.com/office/drawing/2014/chart" uri="{C3380CC4-5D6E-409C-BE32-E72D297353CC}">
                <c16:uniqueId val="{00000011-9D75-734C-83F3-67C75CB3979B}"/>
              </c:ext>
            </c:extLst>
          </c:dPt>
          <c:dLbls>
            <c:dLbl>
              <c:idx val="2"/>
              <c:layout/>
              <c:tx>
                <c:rich>
                  <a:bodyPr/>
                  <a:lstStyle/>
                  <a:p>
                    <a:r>
                      <a:rPr lang="en-US"/>
                      <a:t>Nonprofit</a:t>
                    </a:r>
                    <a:r>
                      <a:rPr lang="en-US" baseline="0"/>
                      <a:t>
</a:t>
                    </a:r>
                    <a:fld id="{28EC46AE-C277-7248-BC22-4DC9999E0BB8}" type="PERCENTAGE">
                      <a:rPr lang="en-US" baseline="0"/>
                      <a:pPr/>
                      <a:t>[PERCENTAGE]</a:t>
                    </a:fld>
                    <a:endParaRPr lang="en-US" baseline="0"/>
                  </a:p>
                </c:rich>
              </c:tx>
              <c:showLegendKey val="0"/>
              <c:showVal val="0"/>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5-9D75-734C-83F3-67C75CB3979B}"/>
                </c:ext>
              </c:extLst>
            </c:dLbl>
            <c:dLbl>
              <c:idx val="5"/>
              <c:layout/>
              <c:tx>
                <c:rich>
                  <a:bodyPr/>
                  <a:lstStyle/>
                  <a:p>
                    <a:fld id="{D7BF28C1-4FDC-9A4F-8386-57BB5C93A48F}" type="CATEGORYNAME">
                      <a:rPr lang="en-US"/>
                      <a:pPr/>
                      <a:t>[CATEGORY NAME]</a:t>
                    </a:fld>
                    <a:r>
                      <a:rPr lang="en-US" baseline="0"/>
                      <a:t>
</a:t>
                    </a:r>
                    <a:fld id="{835E1FFA-8821-F642-B08A-8E820CD97E90}" type="PERCENTAGE">
                      <a:rPr lang="en-US" baseline="0"/>
                      <a:pPr/>
                      <a:t>[PERCENTAGE]</a:t>
                    </a:fld>
                    <a:endParaRPr lang="en-US" baseline="0"/>
                  </a:p>
                </c:rich>
              </c:tx>
              <c:showLegendKey val="0"/>
              <c:showVal val="1"/>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B-9D75-734C-83F3-67C75CB3979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Suggestion3!$A$3:$A$12</c:f>
              <c:strCache>
                <c:ptCount val="9"/>
                <c:pt idx="0">
                  <c:v>Media</c:v>
                </c:pt>
                <c:pt idx="1">
                  <c:v>Individual/uncoded</c:v>
                </c:pt>
                <c:pt idx="2">
                  <c:v>Non-profit</c:v>
                </c:pt>
                <c:pt idx="3">
                  <c:v>Legal</c:v>
                </c:pt>
                <c:pt idx="4">
                  <c:v>Government</c:v>
                </c:pt>
                <c:pt idx="5">
                  <c:v>For-profit</c:v>
                </c:pt>
                <c:pt idx="6">
                  <c:v>Insurance</c:v>
                </c:pt>
                <c:pt idx="7">
                  <c:v>Academic</c:v>
                </c:pt>
                <c:pt idx="8">
                  <c:v>Lobbyist</c:v>
                </c:pt>
              </c:strCache>
            </c:strRef>
          </c:cat>
          <c:val>
            <c:numRef>
              <c:f>Suggestion3!$B$3:$B$12</c:f>
              <c:numCache>
                <c:formatCode>General</c:formatCode>
                <c:ptCount val="9"/>
                <c:pt idx="0">
                  <c:v>201</c:v>
                </c:pt>
                <c:pt idx="1">
                  <c:v>152</c:v>
                </c:pt>
                <c:pt idx="2">
                  <c:v>38</c:v>
                </c:pt>
                <c:pt idx="3">
                  <c:v>37</c:v>
                </c:pt>
                <c:pt idx="4">
                  <c:v>14</c:v>
                </c:pt>
                <c:pt idx="5">
                  <c:v>10</c:v>
                </c:pt>
                <c:pt idx="6">
                  <c:v>6</c:v>
                </c:pt>
                <c:pt idx="7">
                  <c:v>6</c:v>
                </c:pt>
                <c:pt idx="8">
                  <c:v>3</c:v>
                </c:pt>
              </c:numCache>
            </c:numRef>
          </c:val>
          <c:extLst>
            <c:ext xmlns:c16="http://schemas.microsoft.com/office/drawing/2014/chart" uri="{C3380CC4-5D6E-409C-BE32-E72D297353CC}">
              <c16:uniqueId val="{00000012-9D75-734C-83F3-67C75CB3979B}"/>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513679609116102"/>
          <c:y val="0.4421568177764188"/>
          <c:w val="0.32615591996495852"/>
          <c:h val="0.491366103508906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[Total .xlsx]Suggestion1!PivotTable1</c:name>
    <c:fmtId val="-1"/>
  </c:pivotSource>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3"/>
          </a:solidFill>
          <a:ln w="19050">
            <a:solidFill>
              <a:schemeClr val="lt1"/>
            </a:solidFill>
          </a:ln>
          <a:effectLst/>
        </c:spPr>
      </c:pivotFmt>
      <c:pivotFmt>
        <c:idx val="2"/>
        <c:spPr>
          <a:solidFill>
            <a:schemeClr val="accent1"/>
          </a:solidFill>
          <a:ln w="19050">
            <a:solidFill>
              <a:schemeClr val="lt1"/>
            </a:solidFill>
          </a:ln>
          <a:effectLst/>
        </c:spPr>
      </c:pivotFmt>
      <c:pivotFmt>
        <c:idx val="3"/>
        <c:spPr>
          <a:solidFill>
            <a:schemeClr val="accent1">
              <a:lumMod val="50000"/>
            </a:schemeClr>
          </a:solidFill>
          <a:ln w="19050">
            <a:solidFill>
              <a:schemeClr val="lt1"/>
            </a:solidFill>
          </a:ln>
          <a:effectLst/>
        </c:spPr>
        <c:dLbl>
          <c:idx val="0"/>
          <c:layout>
            <c:manualLayout>
              <c:x val="-8.8401462546305945E-3"/>
              <c:y val="4.6767227321436892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4"/>
        <c:spPr>
          <a:solidFill>
            <a:schemeClr val="accent6"/>
          </a:solidFill>
          <a:ln w="19050">
            <a:solidFill>
              <a:schemeClr val="lt1"/>
            </a:solidFill>
          </a:ln>
          <a:effectLst/>
        </c:spPr>
      </c:pivotFmt>
      <c:pivotFmt>
        <c:idx val="5"/>
        <c:spPr>
          <a:solidFill>
            <a:schemeClr val="accent5"/>
          </a:solidFill>
          <a:ln w="19050">
            <a:solidFill>
              <a:schemeClr val="lt1"/>
            </a:solidFill>
          </a:ln>
          <a:effectLst/>
        </c:spPr>
      </c:pivotFmt>
      <c:pivotFmt>
        <c:idx val="6"/>
        <c:spPr>
          <a:solidFill>
            <a:schemeClr val="accent4"/>
          </a:solidFill>
          <a:ln w="19050">
            <a:solidFill>
              <a:schemeClr val="lt1"/>
            </a:solidFill>
          </a:ln>
          <a:effectLst/>
        </c:spPr>
      </c:pivotFmt>
      <c:pivotFmt>
        <c:idx val="7"/>
        <c:spPr>
          <a:solidFill>
            <a:schemeClr val="accent2">
              <a:lumMod val="75000"/>
            </a:schemeClr>
          </a:solidFill>
          <a:ln w="19050">
            <a:solidFill>
              <a:schemeClr val="lt1"/>
            </a:solidFill>
          </a:ln>
          <a:effectLst/>
        </c:spPr>
      </c:pivotFmt>
      <c:pivotFmt>
        <c:idx val="8"/>
        <c:spPr>
          <a:solidFill>
            <a:schemeClr val="accent3">
              <a:lumMod val="50000"/>
            </a:schemeClr>
          </a:solidFill>
          <a:ln w="19050">
            <a:solidFill>
              <a:schemeClr val="lt1"/>
            </a:solidFill>
          </a:ln>
          <a:effectLst/>
        </c:spPr>
      </c:pivotFmt>
      <c:pivotFmt>
        <c:idx val="9"/>
        <c:spPr>
          <a:solidFill>
            <a:schemeClr val="accent2">
              <a:lumMod val="50000"/>
            </a:schemeClr>
          </a:solidFill>
          <a:ln w="19050">
            <a:solidFill>
              <a:schemeClr val="lt1"/>
            </a:solidFill>
          </a:ln>
          <a:effectLst/>
        </c:spPr>
      </c:pivotFmt>
      <c:pivotFmt>
        <c:idx val="1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11"/>
        <c:spPr>
          <a:solidFill>
            <a:schemeClr val="accent3"/>
          </a:solidFill>
          <a:ln w="19050">
            <a:solidFill>
              <a:schemeClr val="lt1"/>
            </a:solidFill>
          </a:ln>
          <a:effectLst/>
        </c:spPr>
      </c:pivotFmt>
      <c:pivotFmt>
        <c:idx val="12"/>
        <c:spPr>
          <a:solidFill>
            <a:schemeClr val="accent1"/>
          </a:solidFill>
          <a:ln w="19050">
            <a:solidFill>
              <a:schemeClr val="lt1"/>
            </a:solidFill>
          </a:ln>
          <a:effectLst/>
        </c:spPr>
      </c:pivotFmt>
      <c:pivotFmt>
        <c:idx val="13"/>
        <c:spPr>
          <a:solidFill>
            <a:schemeClr val="accent1"/>
          </a:solidFill>
          <a:ln w="19050">
            <a:solidFill>
              <a:schemeClr val="lt1"/>
            </a:solidFill>
          </a:ln>
          <a:effectLst/>
        </c:spPr>
      </c:pivotFmt>
      <c:pivotFmt>
        <c:idx val="14"/>
        <c:spPr>
          <a:solidFill>
            <a:schemeClr val="accent1">
              <a:lumMod val="50000"/>
            </a:schemeClr>
          </a:solidFill>
          <a:ln w="19050">
            <a:solidFill>
              <a:schemeClr val="lt1"/>
            </a:solidFill>
          </a:ln>
          <a:effectLst/>
        </c:spPr>
        <c:dLbl>
          <c:idx val="0"/>
          <c:layout>
            <c:manualLayout>
              <c:x val="-8.8401462546305945E-3"/>
              <c:y val="4.6767227321436892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6"/>
          </a:solidFill>
          <a:ln w="19050">
            <a:solidFill>
              <a:schemeClr val="lt1"/>
            </a:solidFill>
          </a:ln>
          <a:effectLst/>
        </c:spPr>
      </c:pivotFmt>
      <c:pivotFmt>
        <c:idx val="16"/>
        <c:spPr>
          <a:solidFill>
            <a:schemeClr val="accent5"/>
          </a:solidFill>
          <a:ln w="19050">
            <a:solidFill>
              <a:schemeClr val="lt1"/>
            </a:solidFill>
          </a:ln>
          <a:effectLst/>
        </c:spPr>
      </c:pivotFmt>
      <c:pivotFmt>
        <c:idx val="17"/>
        <c:spPr>
          <a:solidFill>
            <a:schemeClr val="accent4"/>
          </a:solidFill>
          <a:ln w="19050">
            <a:solidFill>
              <a:schemeClr val="lt1"/>
            </a:solidFill>
          </a:ln>
          <a:effectLst/>
        </c:spPr>
      </c:pivotFmt>
      <c:pivotFmt>
        <c:idx val="18"/>
        <c:spPr>
          <a:solidFill>
            <a:schemeClr val="accent2">
              <a:lumMod val="75000"/>
            </a:schemeClr>
          </a:solidFill>
          <a:ln w="19050">
            <a:solidFill>
              <a:schemeClr val="lt1"/>
            </a:solidFill>
          </a:ln>
          <a:effectLst/>
        </c:spPr>
      </c:pivotFmt>
      <c:pivotFmt>
        <c:idx val="19"/>
        <c:spPr>
          <a:solidFill>
            <a:schemeClr val="accent3">
              <a:lumMod val="50000"/>
            </a:schemeClr>
          </a:solidFill>
          <a:ln w="19050">
            <a:solidFill>
              <a:schemeClr val="lt1"/>
            </a:solidFill>
          </a:ln>
          <a:effectLst/>
        </c:spPr>
      </c:pivotFmt>
      <c:pivotFmt>
        <c:idx val="20"/>
        <c:spPr>
          <a:solidFill>
            <a:schemeClr val="accent2">
              <a:lumMod val="50000"/>
            </a:schemeClr>
          </a:solidFill>
          <a:ln w="19050">
            <a:solidFill>
              <a:schemeClr val="lt1"/>
            </a:solidFill>
          </a:ln>
          <a:effectLst/>
        </c:spPr>
      </c:pivotFmt>
      <c:pivotFmt>
        <c:idx val="2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22"/>
        <c:spPr>
          <a:solidFill>
            <a:schemeClr val="accent3"/>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pivotFmt>
      <c:pivotFmt>
        <c:idx val="25"/>
        <c:spPr>
          <a:solidFill>
            <a:schemeClr val="accent1">
              <a:lumMod val="50000"/>
            </a:schemeClr>
          </a:solidFill>
          <a:ln w="19050">
            <a:solidFill>
              <a:schemeClr val="lt1"/>
            </a:solidFill>
          </a:ln>
          <a:effectLst/>
        </c:spPr>
        <c:dLbl>
          <c:idx val="0"/>
          <c:layout>
            <c:manualLayout>
              <c:x val="-8.8401462546305945E-3"/>
              <c:y val="4.6767227321436892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26"/>
        <c:spPr>
          <a:solidFill>
            <a:schemeClr val="accent6"/>
          </a:solidFill>
          <a:ln w="19050">
            <a:solidFill>
              <a:schemeClr val="lt1"/>
            </a:solidFill>
          </a:ln>
          <a:effectLst/>
        </c:spPr>
      </c:pivotFmt>
      <c:pivotFmt>
        <c:idx val="27"/>
        <c:spPr>
          <a:solidFill>
            <a:schemeClr val="accent5"/>
          </a:solidFill>
          <a:ln w="19050">
            <a:solidFill>
              <a:schemeClr val="lt1"/>
            </a:solidFill>
          </a:ln>
          <a:effectLst/>
        </c:spPr>
      </c:pivotFmt>
      <c:pivotFmt>
        <c:idx val="28"/>
        <c:spPr>
          <a:solidFill>
            <a:schemeClr val="accent4"/>
          </a:solidFill>
          <a:ln w="19050">
            <a:solidFill>
              <a:schemeClr val="lt1"/>
            </a:solidFill>
          </a:ln>
          <a:effectLst/>
        </c:spPr>
      </c:pivotFmt>
      <c:pivotFmt>
        <c:idx val="29"/>
        <c:spPr>
          <a:solidFill>
            <a:schemeClr val="accent2">
              <a:lumMod val="75000"/>
            </a:schemeClr>
          </a:solidFill>
          <a:ln w="19050">
            <a:solidFill>
              <a:schemeClr val="lt1"/>
            </a:solidFill>
          </a:ln>
          <a:effectLst/>
        </c:spPr>
      </c:pivotFmt>
      <c:pivotFmt>
        <c:idx val="30"/>
        <c:spPr>
          <a:solidFill>
            <a:schemeClr val="accent3">
              <a:lumMod val="50000"/>
            </a:schemeClr>
          </a:solidFill>
          <a:ln w="19050">
            <a:solidFill>
              <a:schemeClr val="lt1"/>
            </a:solidFill>
          </a:ln>
          <a:effectLst/>
        </c:spPr>
      </c:pivotFmt>
      <c:pivotFmt>
        <c:idx val="31"/>
        <c:spPr>
          <a:solidFill>
            <a:schemeClr val="accent2">
              <a:lumMod val="50000"/>
            </a:schemeClr>
          </a:solidFill>
          <a:ln w="19050">
            <a:solidFill>
              <a:schemeClr val="lt1"/>
            </a:solidFill>
          </a:ln>
          <a:effectLst/>
        </c:spPr>
      </c:pivotFmt>
    </c:pivotFmts>
    <c:plotArea>
      <c:layout/>
      <c:pieChart>
        <c:varyColors val="1"/>
        <c:ser>
          <c:idx val="0"/>
          <c:order val="0"/>
          <c:tx>
            <c:strRef>
              <c:f>Suggestion1!$B$2</c:f>
              <c:strCache>
                <c:ptCount val="1"/>
                <c:pt idx="0">
                  <c:v>Total</c:v>
                </c:pt>
              </c:strCache>
            </c:strRef>
          </c:tx>
          <c:dPt>
            <c:idx val="0"/>
            <c:bubble3D val="0"/>
            <c:spPr>
              <a:solidFill>
                <a:schemeClr val="accent3"/>
              </a:solidFill>
              <a:ln w="19050">
                <a:solidFill>
                  <a:schemeClr val="lt1"/>
                </a:solidFill>
              </a:ln>
              <a:effectLst/>
            </c:spPr>
            <c:extLst>
              <c:ext xmlns:c16="http://schemas.microsoft.com/office/drawing/2014/chart" uri="{C3380CC4-5D6E-409C-BE32-E72D297353CC}">
                <c16:uniqueId val="{00000001-F6B9-6048-BC61-92279E7467D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6B9-6048-BC61-92279E7467DD}"/>
              </c:ext>
            </c:extLst>
          </c:dPt>
          <c:dPt>
            <c:idx val="2"/>
            <c:bubble3D val="0"/>
            <c:spPr>
              <a:solidFill>
                <a:schemeClr val="accent1"/>
              </a:solidFill>
              <a:ln w="19050">
                <a:solidFill>
                  <a:schemeClr val="lt1"/>
                </a:solidFill>
              </a:ln>
              <a:effectLst/>
            </c:spPr>
            <c:extLst>
              <c:ext xmlns:c16="http://schemas.microsoft.com/office/drawing/2014/chart" uri="{C3380CC4-5D6E-409C-BE32-E72D297353CC}">
                <c16:uniqueId val="{00000005-F6B9-6048-BC61-92279E7467DD}"/>
              </c:ext>
            </c:extLst>
          </c:dPt>
          <c:dPt>
            <c:idx val="3"/>
            <c:bubble3D val="0"/>
            <c:spPr>
              <a:solidFill>
                <a:schemeClr val="accent1">
                  <a:lumMod val="50000"/>
                </a:schemeClr>
              </a:solidFill>
              <a:ln w="19050">
                <a:solidFill>
                  <a:schemeClr val="lt1"/>
                </a:solidFill>
              </a:ln>
              <a:effectLst/>
            </c:spPr>
            <c:extLst>
              <c:ext xmlns:c16="http://schemas.microsoft.com/office/drawing/2014/chart" uri="{C3380CC4-5D6E-409C-BE32-E72D297353CC}">
                <c16:uniqueId val="{00000007-F6B9-6048-BC61-92279E7467DD}"/>
              </c:ext>
            </c:extLst>
          </c:dPt>
          <c:dPt>
            <c:idx val="4"/>
            <c:bubble3D val="0"/>
            <c:spPr>
              <a:solidFill>
                <a:schemeClr val="accent6"/>
              </a:solidFill>
              <a:ln w="19050">
                <a:solidFill>
                  <a:schemeClr val="lt1"/>
                </a:solidFill>
              </a:ln>
              <a:effectLst/>
            </c:spPr>
            <c:extLst>
              <c:ext xmlns:c16="http://schemas.microsoft.com/office/drawing/2014/chart" uri="{C3380CC4-5D6E-409C-BE32-E72D297353CC}">
                <c16:uniqueId val="{00000009-F6B9-6048-BC61-92279E7467DD}"/>
              </c:ext>
            </c:extLst>
          </c:dPt>
          <c:dPt>
            <c:idx val="5"/>
            <c:bubble3D val="0"/>
            <c:spPr>
              <a:solidFill>
                <a:schemeClr val="accent5"/>
              </a:solidFill>
              <a:ln w="19050">
                <a:solidFill>
                  <a:schemeClr val="lt1"/>
                </a:solidFill>
              </a:ln>
              <a:effectLst/>
            </c:spPr>
            <c:extLst>
              <c:ext xmlns:c16="http://schemas.microsoft.com/office/drawing/2014/chart" uri="{C3380CC4-5D6E-409C-BE32-E72D297353CC}">
                <c16:uniqueId val="{0000000B-F6B9-6048-BC61-92279E7467DD}"/>
              </c:ext>
            </c:extLst>
          </c:dPt>
          <c:dPt>
            <c:idx val="6"/>
            <c:bubble3D val="0"/>
            <c:spPr>
              <a:solidFill>
                <a:schemeClr val="accent4"/>
              </a:solidFill>
              <a:ln w="19050">
                <a:solidFill>
                  <a:schemeClr val="lt1"/>
                </a:solidFill>
              </a:ln>
              <a:effectLst/>
            </c:spPr>
            <c:extLst>
              <c:ext xmlns:c16="http://schemas.microsoft.com/office/drawing/2014/chart" uri="{C3380CC4-5D6E-409C-BE32-E72D297353CC}">
                <c16:uniqueId val="{0000000D-F6B9-6048-BC61-92279E7467DD}"/>
              </c:ext>
            </c:extLst>
          </c:dPt>
          <c:dPt>
            <c:idx val="7"/>
            <c:bubble3D val="0"/>
            <c:spPr>
              <a:solidFill>
                <a:schemeClr val="accent2">
                  <a:lumMod val="75000"/>
                </a:schemeClr>
              </a:solidFill>
              <a:ln w="19050">
                <a:solidFill>
                  <a:schemeClr val="lt1"/>
                </a:solidFill>
              </a:ln>
              <a:effectLst/>
            </c:spPr>
            <c:extLst>
              <c:ext xmlns:c16="http://schemas.microsoft.com/office/drawing/2014/chart" uri="{C3380CC4-5D6E-409C-BE32-E72D297353CC}">
                <c16:uniqueId val="{0000000F-F6B9-6048-BC61-92279E7467DD}"/>
              </c:ext>
            </c:extLst>
          </c:dPt>
          <c:dPt>
            <c:idx val="8"/>
            <c:bubble3D val="0"/>
            <c:spPr>
              <a:solidFill>
                <a:schemeClr val="accent3">
                  <a:lumMod val="50000"/>
                </a:schemeClr>
              </a:solidFill>
              <a:ln w="19050">
                <a:solidFill>
                  <a:schemeClr val="lt1"/>
                </a:solidFill>
              </a:ln>
              <a:effectLst/>
            </c:spPr>
            <c:extLst>
              <c:ext xmlns:c16="http://schemas.microsoft.com/office/drawing/2014/chart" uri="{C3380CC4-5D6E-409C-BE32-E72D297353CC}">
                <c16:uniqueId val="{00000011-F6B9-6048-BC61-92279E7467DD}"/>
              </c:ext>
            </c:extLst>
          </c:dPt>
          <c:dPt>
            <c:idx val="9"/>
            <c:bubble3D val="0"/>
            <c:spPr>
              <a:solidFill>
                <a:schemeClr val="accent2">
                  <a:lumMod val="50000"/>
                </a:schemeClr>
              </a:solidFill>
              <a:ln w="19050">
                <a:solidFill>
                  <a:schemeClr val="lt1"/>
                </a:solidFill>
              </a:ln>
              <a:effectLst/>
            </c:spPr>
            <c:extLst>
              <c:ext xmlns:c16="http://schemas.microsoft.com/office/drawing/2014/chart" uri="{C3380CC4-5D6E-409C-BE32-E72D297353CC}">
                <c16:uniqueId val="{00000013-F6B9-6048-BC61-92279E7467DD}"/>
              </c:ext>
            </c:extLst>
          </c:dPt>
          <c:dLbls>
            <c:dLbl>
              <c:idx val="3"/>
              <c:layout>
                <c:manualLayout>
                  <c:x val="-8.8401462546305945E-3"/>
                  <c:y val="4.6767227321436892E-2"/>
                </c:manualLayout>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7-F6B9-6048-BC61-92279E7467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Suggestion1!$A$3:$A$13</c:f>
              <c:strCache>
                <c:ptCount val="10"/>
                <c:pt idx="0">
                  <c:v>For-profit</c:v>
                </c:pt>
                <c:pt idx="1">
                  <c:v>Individual/Uncoded</c:v>
                </c:pt>
                <c:pt idx="2">
                  <c:v>Legal</c:v>
                </c:pt>
                <c:pt idx="3">
                  <c:v>Government </c:v>
                </c:pt>
                <c:pt idx="4">
                  <c:v>Media</c:v>
                </c:pt>
                <c:pt idx="5">
                  <c:v>Non-profit</c:v>
                </c:pt>
                <c:pt idx="6">
                  <c:v>Insurance</c:v>
                </c:pt>
                <c:pt idx="7">
                  <c:v>Academic </c:v>
                </c:pt>
                <c:pt idx="8">
                  <c:v>Lobbyists</c:v>
                </c:pt>
                <c:pt idx="9">
                  <c:v>Union </c:v>
                </c:pt>
              </c:strCache>
            </c:strRef>
          </c:cat>
          <c:val>
            <c:numRef>
              <c:f>Suggestion1!$B$3:$B$13</c:f>
              <c:numCache>
                <c:formatCode>General</c:formatCode>
                <c:ptCount val="10"/>
                <c:pt idx="0">
                  <c:v>5179</c:v>
                </c:pt>
                <c:pt idx="1">
                  <c:v>4967</c:v>
                </c:pt>
                <c:pt idx="2">
                  <c:v>3325</c:v>
                </c:pt>
                <c:pt idx="3">
                  <c:v>1179</c:v>
                </c:pt>
                <c:pt idx="4">
                  <c:v>517</c:v>
                </c:pt>
                <c:pt idx="5">
                  <c:v>347</c:v>
                </c:pt>
                <c:pt idx="6">
                  <c:v>331</c:v>
                </c:pt>
                <c:pt idx="7">
                  <c:v>91</c:v>
                </c:pt>
                <c:pt idx="8">
                  <c:v>23</c:v>
                </c:pt>
                <c:pt idx="9">
                  <c:v>10</c:v>
                </c:pt>
              </c:numCache>
            </c:numRef>
          </c:val>
          <c:extLst>
            <c:ext xmlns:c16="http://schemas.microsoft.com/office/drawing/2014/chart" uri="{C3380CC4-5D6E-409C-BE32-E72D297353CC}">
              <c16:uniqueId val="{00000014-F6B9-6048-BC61-92279E7467DD}"/>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[Total .xlsx]Suggestion4!PivotTable4</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AHCA, DACS, DEP, Lottery</a:t>
            </a:r>
          </a:p>
        </c:rich>
      </c:tx>
      <c:layout>
        <c:manualLayout>
          <c:xMode val="edge"/>
          <c:yMode val="edge"/>
          <c:x val="0.68863414989792937"/>
          <c:y val="2.743902439024390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2">
              <a:lumMod val="50000"/>
            </a:schemeClr>
          </a:solidFill>
          <a:ln w="19050">
            <a:solidFill>
              <a:schemeClr val="lt1"/>
            </a:solidFill>
          </a:ln>
          <a:effectLst/>
        </c:spPr>
        <c:dLbl>
          <c:idx val="0"/>
          <c:layout>
            <c:manualLayout>
              <c:x val="0.11260294546515019"/>
              <c:y val="4.908080468599961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2"/>
        <c:spPr>
          <a:solidFill>
            <a:schemeClr val="accent3"/>
          </a:solidFill>
          <a:ln w="19050">
            <a:solidFill>
              <a:schemeClr val="lt1"/>
            </a:solidFill>
          </a:ln>
          <a:effectLst/>
        </c:spPr>
      </c:pivotFmt>
      <c:pivotFmt>
        <c:idx val="3"/>
        <c:spPr>
          <a:solidFill>
            <a:schemeClr val="accent1"/>
          </a:solidFill>
          <a:ln w="19050">
            <a:solidFill>
              <a:schemeClr val="lt1"/>
            </a:solidFill>
          </a:ln>
          <a:effectLst/>
        </c:spPr>
      </c:pivotFmt>
      <c:pivotFmt>
        <c:idx val="4"/>
        <c:spPr>
          <a:solidFill>
            <a:schemeClr val="accent1">
              <a:lumMod val="50000"/>
            </a:schemeClr>
          </a:solidFill>
          <a:ln w="19050">
            <a:solidFill>
              <a:schemeClr val="lt1"/>
            </a:solidFill>
          </a:ln>
          <a:effectLst/>
        </c:spPr>
        <c:dLbl>
          <c:idx val="0"/>
          <c:layout>
            <c:manualLayout>
              <c:x val="-2.2230460775736382E-2"/>
              <c:y val="6.417826963702708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5"/>
        <c:spPr>
          <a:solidFill>
            <a:schemeClr val="accent4"/>
          </a:solidFill>
          <a:ln w="19050">
            <a:solidFill>
              <a:schemeClr val="lt1"/>
            </a:solidFill>
          </a:ln>
          <a:effectLst/>
        </c:spPr>
      </c:pivotFmt>
      <c:pivotFmt>
        <c:idx val="6"/>
        <c:spPr>
          <a:solidFill>
            <a:schemeClr val="accent5"/>
          </a:solidFill>
          <a:ln w="19050">
            <a:solidFill>
              <a:schemeClr val="lt1"/>
            </a:solidFill>
          </a:ln>
          <a:effectLst/>
        </c:spPr>
      </c:pivotFmt>
      <c:pivotFmt>
        <c:idx val="7"/>
        <c:spPr>
          <a:solidFill>
            <a:schemeClr val="accent2">
              <a:lumMod val="75000"/>
            </a:schemeClr>
          </a:solidFill>
          <a:ln w="19050">
            <a:solidFill>
              <a:schemeClr val="lt1"/>
            </a:solidFill>
          </a:ln>
          <a:effectLst/>
        </c:spPr>
      </c:pivotFmt>
      <c:pivotFmt>
        <c:idx val="8"/>
        <c:spPr>
          <a:solidFill>
            <a:schemeClr val="accent3">
              <a:lumMod val="50000"/>
            </a:schemeClr>
          </a:solidFill>
          <a:ln w="19050">
            <a:solidFill>
              <a:schemeClr val="lt1"/>
            </a:solidFill>
          </a:ln>
          <a:effectLst/>
        </c:spPr>
      </c:pivotFmt>
      <c:pivotFmt>
        <c:idx val="9"/>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10"/>
        <c:spPr>
          <a:solidFill>
            <a:schemeClr val="accent3"/>
          </a:solidFill>
          <a:ln w="19050">
            <a:solidFill>
              <a:schemeClr val="lt1"/>
            </a:solidFill>
          </a:ln>
          <a:effectLst/>
        </c:spPr>
      </c:pivotFmt>
      <c:pivotFmt>
        <c:idx val="11"/>
        <c:spPr>
          <a:solidFill>
            <a:schemeClr val="accent1"/>
          </a:solidFill>
          <a:ln w="19050">
            <a:solidFill>
              <a:schemeClr val="lt1"/>
            </a:solidFill>
          </a:ln>
          <a:effectLst/>
        </c:spPr>
      </c:pivotFmt>
      <c:pivotFmt>
        <c:idx val="12"/>
        <c:spPr>
          <a:solidFill>
            <a:schemeClr val="accent1"/>
          </a:solidFill>
          <a:ln w="19050">
            <a:solidFill>
              <a:schemeClr val="lt1"/>
            </a:solidFill>
          </a:ln>
          <a:effectLst/>
        </c:spPr>
      </c:pivotFmt>
      <c:pivotFmt>
        <c:idx val="13"/>
        <c:spPr>
          <a:solidFill>
            <a:schemeClr val="accent1">
              <a:lumMod val="50000"/>
            </a:schemeClr>
          </a:solidFill>
          <a:ln w="19050">
            <a:solidFill>
              <a:schemeClr val="lt1"/>
            </a:solidFill>
          </a:ln>
          <a:effectLst/>
        </c:spPr>
        <c:dLbl>
          <c:idx val="0"/>
          <c:layout>
            <c:manualLayout>
              <c:x val="-2.2230460775736382E-2"/>
              <c:y val="6.417826963702708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14"/>
        <c:spPr>
          <a:solidFill>
            <a:schemeClr val="accent4"/>
          </a:solidFill>
          <a:ln w="19050">
            <a:solidFill>
              <a:schemeClr val="lt1"/>
            </a:solidFill>
          </a:ln>
          <a:effectLst/>
        </c:spPr>
      </c:pivotFmt>
      <c:pivotFmt>
        <c:idx val="15"/>
        <c:spPr>
          <a:solidFill>
            <a:schemeClr val="accent1"/>
          </a:solidFill>
          <a:ln w="19050">
            <a:solidFill>
              <a:schemeClr val="lt1"/>
            </a:solidFill>
          </a:ln>
          <a:effectLst/>
        </c:spPr>
      </c:pivotFmt>
      <c:pivotFmt>
        <c:idx val="16"/>
        <c:spPr>
          <a:solidFill>
            <a:schemeClr val="accent5"/>
          </a:solidFill>
          <a:ln w="19050">
            <a:solidFill>
              <a:schemeClr val="lt1"/>
            </a:solidFill>
          </a:ln>
          <a:effectLst/>
        </c:spPr>
      </c:pivotFmt>
      <c:pivotFmt>
        <c:idx val="17"/>
        <c:spPr>
          <a:solidFill>
            <a:schemeClr val="accent2">
              <a:lumMod val="75000"/>
            </a:schemeClr>
          </a:solidFill>
          <a:ln w="19050">
            <a:solidFill>
              <a:schemeClr val="lt1"/>
            </a:solidFill>
          </a:ln>
          <a:effectLst/>
        </c:spPr>
      </c:pivotFmt>
      <c:pivotFmt>
        <c:idx val="18"/>
        <c:spPr>
          <a:solidFill>
            <a:schemeClr val="accent3">
              <a:lumMod val="50000"/>
            </a:schemeClr>
          </a:solidFill>
          <a:ln w="19050">
            <a:solidFill>
              <a:schemeClr val="lt1"/>
            </a:solidFill>
          </a:ln>
          <a:effectLst/>
        </c:spPr>
      </c:pivotFmt>
      <c:pivotFmt>
        <c:idx val="19"/>
        <c:spPr>
          <a:solidFill>
            <a:schemeClr val="accent2">
              <a:lumMod val="50000"/>
            </a:schemeClr>
          </a:solidFill>
          <a:ln w="19050">
            <a:solidFill>
              <a:schemeClr val="lt1"/>
            </a:solidFill>
          </a:ln>
          <a:effectLst/>
        </c:spPr>
        <c:dLbl>
          <c:idx val="0"/>
          <c:layout>
            <c:manualLayout>
              <c:x val="0.11260294546515019"/>
              <c:y val="4.908080468599961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2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21"/>
        <c:spPr>
          <a:solidFill>
            <a:schemeClr val="accent3"/>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lumMod val="50000"/>
            </a:schemeClr>
          </a:solidFill>
          <a:ln w="19050">
            <a:solidFill>
              <a:schemeClr val="lt1"/>
            </a:solidFill>
          </a:ln>
          <a:effectLst/>
        </c:spPr>
        <c:dLbl>
          <c:idx val="0"/>
          <c:layout>
            <c:manualLayout>
              <c:x val="-2.2230460775736382E-2"/>
              <c:y val="6.417826963702708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
        <c:idx val="25"/>
        <c:spPr>
          <a:solidFill>
            <a:schemeClr val="accent4"/>
          </a:solidFill>
          <a:ln w="19050">
            <a:solidFill>
              <a:schemeClr val="lt1"/>
            </a:solidFill>
          </a:ln>
          <a:effectLst/>
        </c:spPr>
      </c:pivotFmt>
      <c:pivotFmt>
        <c:idx val="26"/>
        <c:spPr>
          <a:solidFill>
            <a:schemeClr val="accent1"/>
          </a:solidFill>
          <a:ln w="19050">
            <a:solidFill>
              <a:schemeClr val="lt1"/>
            </a:solidFill>
          </a:ln>
          <a:effectLst/>
        </c:spPr>
      </c:pivotFmt>
      <c:pivotFmt>
        <c:idx val="27"/>
        <c:spPr>
          <a:solidFill>
            <a:schemeClr val="accent5"/>
          </a:solidFill>
          <a:ln w="19050">
            <a:solidFill>
              <a:schemeClr val="lt1"/>
            </a:solidFill>
          </a:ln>
          <a:effectLst/>
        </c:spPr>
      </c:pivotFmt>
      <c:pivotFmt>
        <c:idx val="28"/>
        <c:spPr>
          <a:solidFill>
            <a:schemeClr val="accent2">
              <a:lumMod val="75000"/>
            </a:schemeClr>
          </a:solidFill>
          <a:ln w="19050">
            <a:solidFill>
              <a:schemeClr val="lt1"/>
            </a:solidFill>
          </a:ln>
          <a:effectLst/>
        </c:spPr>
      </c:pivotFmt>
      <c:pivotFmt>
        <c:idx val="29"/>
        <c:spPr>
          <a:solidFill>
            <a:schemeClr val="accent3">
              <a:lumMod val="50000"/>
            </a:schemeClr>
          </a:solidFill>
          <a:ln w="19050">
            <a:solidFill>
              <a:schemeClr val="lt1"/>
            </a:solidFill>
          </a:ln>
          <a:effectLst/>
        </c:spPr>
      </c:pivotFmt>
      <c:pivotFmt>
        <c:idx val="30"/>
        <c:spPr>
          <a:solidFill>
            <a:schemeClr val="accent2">
              <a:lumMod val="50000"/>
            </a:schemeClr>
          </a:solidFill>
          <a:ln w="19050">
            <a:solidFill>
              <a:schemeClr val="lt1"/>
            </a:solidFill>
          </a:ln>
          <a:effectLst/>
        </c:spPr>
        <c:dLbl>
          <c:idx val="0"/>
          <c:layout>
            <c:manualLayout>
              <c:x val="0.11260294546515019"/>
              <c:y val="4.908080468599961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s>
    <c:plotArea>
      <c:layout/>
      <c:pieChart>
        <c:varyColors val="1"/>
        <c:ser>
          <c:idx val="0"/>
          <c:order val="0"/>
          <c:tx>
            <c:strRef>
              <c:f>Suggestion4!$B$2</c:f>
              <c:strCache>
                <c:ptCount val="1"/>
                <c:pt idx="0">
                  <c:v>Total</c:v>
                </c:pt>
              </c:strCache>
            </c:strRef>
          </c:tx>
          <c:dPt>
            <c:idx val="0"/>
            <c:bubble3D val="0"/>
            <c:spPr>
              <a:solidFill>
                <a:schemeClr val="accent3"/>
              </a:solidFill>
              <a:ln w="19050">
                <a:solidFill>
                  <a:schemeClr val="lt1"/>
                </a:solidFill>
              </a:ln>
              <a:effectLst/>
            </c:spPr>
            <c:extLst>
              <c:ext xmlns:c16="http://schemas.microsoft.com/office/drawing/2014/chart" uri="{C3380CC4-5D6E-409C-BE32-E72D297353CC}">
                <c16:uniqueId val="{00000001-C0D7-5646-A4AD-F5852864F94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0D7-5646-A4AD-F5852864F94A}"/>
              </c:ext>
            </c:extLst>
          </c:dPt>
          <c:dPt>
            <c:idx val="2"/>
            <c:bubble3D val="0"/>
            <c:spPr>
              <a:solidFill>
                <a:schemeClr val="accent1"/>
              </a:solidFill>
              <a:ln w="19050">
                <a:solidFill>
                  <a:schemeClr val="lt1"/>
                </a:solidFill>
              </a:ln>
              <a:effectLst/>
            </c:spPr>
            <c:extLst>
              <c:ext xmlns:c16="http://schemas.microsoft.com/office/drawing/2014/chart" uri="{C3380CC4-5D6E-409C-BE32-E72D297353CC}">
                <c16:uniqueId val="{00000005-C0D7-5646-A4AD-F5852864F94A}"/>
              </c:ext>
            </c:extLst>
          </c:dPt>
          <c:dPt>
            <c:idx val="3"/>
            <c:bubble3D val="0"/>
            <c:spPr>
              <a:solidFill>
                <a:schemeClr val="accent1">
                  <a:lumMod val="50000"/>
                </a:schemeClr>
              </a:solidFill>
              <a:ln w="19050">
                <a:solidFill>
                  <a:schemeClr val="lt1"/>
                </a:solidFill>
              </a:ln>
              <a:effectLst/>
            </c:spPr>
            <c:extLst>
              <c:ext xmlns:c16="http://schemas.microsoft.com/office/drawing/2014/chart" uri="{C3380CC4-5D6E-409C-BE32-E72D297353CC}">
                <c16:uniqueId val="{00000007-C0D7-5646-A4AD-F5852864F94A}"/>
              </c:ext>
            </c:extLst>
          </c:dPt>
          <c:dPt>
            <c:idx val="4"/>
            <c:bubble3D val="0"/>
            <c:spPr>
              <a:solidFill>
                <a:schemeClr val="accent4"/>
              </a:solidFill>
              <a:ln w="19050">
                <a:solidFill>
                  <a:schemeClr val="lt1"/>
                </a:solidFill>
              </a:ln>
              <a:effectLst/>
            </c:spPr>
            <c:extLst>
              <c:ext xmlns:c16="http://schemas.microsoft.com/office/drawing/2014/chart" uri="{C3380CC4-5D6E-409C-BE32-E72D297353CC}">
                <c16:uniqueId val="{00000009-C0D7-5646-A4AD-F5852864F94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0D7-5646-A4AD-F5852864F94A}"/>
              </c:ext>
            </c:extLst>
          </c:dPt>
          <c:dPt>
            <c:idx val="6"/>
            <c:bubble3D val="0"/>
            <c:spPr>
              <a:solidFill>
                <a:schemeClr val="accent5"/>
              </a:solidFill>
              <a:ln w="19050">
                <a:solidFill>
                  <a:schemeClr val="lt1"/>
                </a:solidFill>
              </a:ln>
              <a:effectLst/>
            </c:spPr>
            <c:extLst>
              <c:ext xmlns:c16="http://schemas.microsoft.com/office/drawing/2014/chart" uri="{C3380CC4-5D6E-409C-BE32-E72D297353CC}">
                <c16:uniqueId val="{0000000D-C0D7-5646-A4AD-F5852864F94A}"/>
              </c:ext>
            </c:extLst>
          </c:dPt>
          <c:dPt>
            <c:idx val="7"/>
            <c:bubble3D val="0"/>
            <c:spPr>
              <a:solidFill>
                <a:schemeClr val="accent2">
                  <a:lumMod val="75000"/>
                </a:schemeClr>
              </a:solidFill>
              <a:ln w="19050">
                <a:solidFill>
                  <a:schemeClr val="lt1"/>
                </a:solidFill>
              </a:ln>
              <a:effectLst/>
            </c:spPr>
            <c:extLst>
              <c:ext xmlns:c16="http://schemas.microsoft.com/office/drawing/2014/chart" uri="{C3380CC4-5D6E-409C-BE32-E72D297353CC}">
                <c16:uniqueId val="{0000000F-C0D7-5646-A4AD-F5852864F94A}"/>
              </c:ext>
            </c:extLst>
          </c:dPt>
          <c:dPt>
            <c:idx val="8"/>
            <c:bubble3D val="0"/>
            <c:spPr>
              <a:solidFill>
                <a:schemeClr val="accent3">
                  <a:lumMod val="50000"/>
                </a:schemeClr>
              </a:solidFill>
              <a:ln w="19050">
                <a:solidFill>
                  <a:schemeClr val="lt1"/>
                </a:solidFill>
              </a:ln>
              <a:effectLst/>
            </c:spPr>
            <c:extLst>
              <c:ext xmlns:c16="http://schemas.microsoft.com/office/drawing/2014/chart" uri="{C3380CC4-5D6E-409C-BE32-E72D297353CC}">
                <c16:uniqueId val="{00000011-C0D7-5646-A4AD-F5852864F94A}"/>
              </c:ext>
            </c:extLst>
          </c:dPt>
          <c:dPt>
            <c:idx val="9"/>
            <c:bubble3D val="0"/>
            <c:spPr>
              <a:solidFill>
                <a:schemeClr val="accent2">
                  <a:lumMod val="50000"/>
                </a:schemeClr>
              </a:solidFill>
              <a:ln w="19050">
                <a:solidFill>
                  <a:schemeClr val="lt1"/>
                </a:solidFill>
              </a:ln>
              <a:effectLst/>
            </c:spPr>
            <c:extLst>
              <c:ext xmlns:c16="http://schemas.microsoft.com/office/drawing/2014/chart" uri="{C3380CC4-5D6E-409C-BE32-E72D297353CC}">
                <c16:uniqueId val="{00000013-C0D7-5646-A4AD-F5852864F94A}"/>
              </c:ext>
            </c:extLst>
          </c:dPt>
          <c:dLbls>
            <c:dLbl>
              <c:idx val="3"/>
              <c:layout>
                <c:manualLayout>
                  <c:x val="-2.2230460775736382E-2"/>
                  <c:y val="6.417826963702708E-2"/>
                </c:manualLayout>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7-C0D7-5646-A4AD-F5852864F94A}"/>
                </c:ext>
              </c:extLst>
            </c:dLbl>
            <c:dLbl>
              <c:idx val="9"/>
              <c:layout>
                <c:manualLayout>
                  <c:x val="0.11260294546515019"/>
                  <c:y val="4.9080804685999617E-2"/>
                </c:manualLayout>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13-C0D7-5646-A4AD-F5852864F94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Suggestion4!$A$3:$A$13</c:f>
              <c:strCache>
                <c:ptCount val="10"/>
                <c:pt idx="0">
                  <c:v>For-profit</c:v>
                </c:pt>
                <c:pt idx="1">
                  <c:v>Individual/Uncoded</c:v>
                </c:pt>
                <c:pt idx="2">
                  <c:v>Legal</c:v>
                </c:pt>
                <c:pt idx="3">
                  <c:v>Government </c:v>
                </c:pt>
                <c:pt idx="4">
                  <c:v>Insurance</c:v>
                </c:pt>
                <c:pt idx="5">
                  <c:v>Media</c:v>
                </c:pt>
                <c:pt idx="6">
                  <c:v>Non-profit</c:v>
                </c:pt>
                <c:pt idx="7">
                  <c:v>Academic </c:v>
                </c:pt>
                <c:pt idx="8">
                  <c:v>Lobbyists</c:v>
                </c:pt>
                <c:pt idx="9">
                  <c:v>Union </c:v>
                </c:pt>
              </c:strCache>
            </c:strRef>
          </c:cat>
          <c:val>
            <c:numRef>
              <c:f>Suggestion4!$B$3:$B$13</c:f>
              <c:numCache>
                <c:formatCode>General</c:formatCode>
                <c:ptCount val="10"/>
                <c:pt idx="0">
                  <c:v>5169</c:v>
                </c:pt>
                <c:pt idx="1">
                  <c:v>4815</c:v>
                </c:pt>
                <c:pt idx="2">
                  <c:v>3288</c:v>
                </c:pt>
                <c:pt idx="3">
                  <c:v>1165</c:v>
                </c:pt>
                <c:pt idx="4">
                  <c:v>325</c:v>
                </c:pt>
                <c:pt idx="5">
                  <c:v>316</c:v>
                </c:pt>
                <c:pt idx="6">
                  <c:v>309</c:v>
                </c:pt>
                <c:pt idx="7">
                  <c:v>85</c:v>
                </c:pt>
                <c:pt idx="8">
                  <c:v>20</c:v>
                </c:pt>
                <c:pt idx="9">
                  <c:v>10</c:v>
                </c:pt>
              </c:numCache>
            </c:numRef>
          </c:val>
          <c:extLst>
            <c:ext xmlns:c16="http://schemas.microsoft.com/office/drawing/2014/chart" uri="{C3380CC4-5D6E-409C-BE32-E72D297353CC}">
              <c16:uniqueId val="{00000014-C0D7-5646-A4AD-F5852864F94A}"/>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96267-71C3-4563-8723-E3D9D60A4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3445</Words>
  <Characters>19637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2021-08-04T15:57:00Z</dcterms:created>
  <dcterms:modified xsi:type="dcterms:W3CDTF">2021-09-03T18:30:00Z</dcterms:modified>
  <cp:category/>
</cp:coreProperties>
</file>